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1E" w:rsidRDefault="0088733D" w:rsidP="006701C6">
      <w:pPr>
        <w:pStyle w:val="Titolo1"/>
        <w:spacing w:after="420" w:line="320" w:lineRule="exact"/>
        <w:jc w:val="center"/>
      </w:pPr>
      <w:bookmarkStart w:id="0" w:name="_GoBack"/>
      <w:bookmarkEnd w:id="0"/>
      <w:r>
        <w:t>Commenti sulla Nota di Aggiornamento al DEF 2018</w:t>
      </w:r>
    </w:p>
    <w:p w:rsidR="002866C0" w:rsidRPr="00E6409A" w:rsidRDefault="00E6409A" w:rsidP="002866C0">
      <w:pPr>
        <w:rPr>
          <w:color w:val="2E74B5" w:themeColor="accent1" w:themeShade="BF"/>
        </w:rPr>
      </w:pPr>
      <w:r w:rsidRPr="00E6409A">
        <w:rPr>
          <w:color w:val="2E74B5" w:themeColor="accent1" w:themeShade="BF"/>
        </w:rPr>
        <w:t xml:space="preserve">                                                      (a cura di Carmelo Parello)</w:t>
      </w:r>
    </w:p>
    <w:p w:rsidR="00C64658" w:rsidRDefault="00C64658" w:rsidP="00C64658">
      <w:pPr>
        <w:pStyle w:val="Titolo2"/>
        <w:spacing w:before="240" w:after="240"/>
      </w:pPr>
      <w:r>
        <w:t>Introduzione e commento sintetico</w:t>
      </w:r>
    </w:p>
    <w:p w:rsidR="005B101E" w:rsidRDefault="005B101E" w:rsidP="006701C6">
      <w:pPr>
        <w:spacing w:line="320" w:lineRule="exact"/>
        <w:jc w:val="both"/>
      </w:pPr>
      <w:r>
        <w:t xml:space="preserve">Lo scorso </w:t>
      </w:r>
      <w:r w:rsidRPr="005B101E">
        <w:t>4 ottobre 2018 la Nota di Aggiornamento del Documento di Economia e Finanza 2018 è stata presentata alle Camere.</w:t>
      </w:r>
      <w:r w:rsidR="006701C6">
        <w:t xml:space="preserve"> </w:t>
      </w:r>
      <w:r w:rsidR="0088733D">
        <w:t>Come preannunciato, gli indirizzi di politica economica contenuti nella Nota</w:t>
      </w:r>
      <w:r w:rsidR="0088733D" w:rsidRPr="0088733D">
        <w:t>, pur condividendo l'obiettivo della riduzione del debito pubblico in rapporto al PIL, preved</w:t>
      </w:r>
      <w:r w:rsidR="0088733D">
        <w:t>ono</w:t>
      </w:r>
      <w:r w:rsidR="0088733D" w:rsidRPr="0088733D">
        <w:t xml:space="preserve"> un</w:t>
      </w:r>
      <w:r w:rsidR="0088733D">
        <w:t>a profonda revisione del</w:t>
      </w:r>
      <w:r w:rsidR="0088733D" w:rsidRPr="0088733D">
        <w:t xml:space="preserve"> percorso di aggiustamento del saldo strutturale rispetto a quanto previsto nel documento programmatico dello scorso settembre.</w:t>
      </w:r>
      <w:r w:rsidR="00524DB8">
        <w:t xml:space="preserve"> Con riferimento ai principali provvedimenti di finanza pubblica, le previsioni programmatiche fornite dalla Nota </w:t>
      </w:r>
      <w:r w:rsidR="00792838">
        <w:t>inglobano</w:t>
      </w:r>
      <w:r w:rsidR="00524DB8">
        <w:t xml:space="preserve"> i seguenti interventi.</w:t>
      </w:r>
    </w:p>
    <w:p w:rsidR="008155AD" w:rsidRPr="006701C6" w:rsidRDefault="00BE6664" w:rsidP="006701C6">
      <w:pPr>
        <w:spacing w:before="240" w:line="320" w:lineRule="exact"/>
        <w:rPr>
          <w:i/>
        </w:rPr>
      </w:pPr>
      <w:r w:rsidRPr="006701C6">
        <w:rPr>
          <w:i/>
        </w:rPr>
        <w:t>Interventi dal lato delle entrate</w:t>
      </w:r>
    </w:p>
    <w:p w:rsidR="008155AD" w:rsidRPr="006701C6" w:rsidRDefault="008155AD" w:rsidP="006701C6">
      <w:pPr>
        <w:pStyle w:val="Paragrafoelenco"/>
        <w:numPr>
          <w:ilvl w:val="0"/>
          <w:numId w:val="1"/>
        </w:numPr>
        <w:spacing w:line="320" w:lineRule="exact"/>
      </w:pPr>
      <w:r w:rsidRPr="006701C6">
        <w:t xml:space="preserve">Sterilizzazione delle clausole di salvaguardia (IVA e accise) </w:t>
      </w:r>
      <w:r w:rsidR="00792838" w:rsidRPr="006701C6">
        <w:t xml:space="preserve">totale </w:t>
      </w:r>
      <w:r w:rsidRPr="006701C6">
        <w:t>per il 2019</w:t>
      </w:r>
      <w:r w:rsidR="00792838">
        <w:t>,</w:t>
      </w:r>
      <w:r w:rsidRPr="006701C6">
        <w:t xml:space="preserve"> parziale per gli anni 2020 e 2021</w:t>
      </w:r>
    </w:p>
    <w:p w:rsidR="008155AD" w:rsidRPr="006701C6" w:rsidRDefault="008155AD" w:rsidP="006701C6">
      <w:pPr>
        <w:pStyle w:val="Paragrafoelenco"/>
        <w:numPr>
          <w:ilvl w:val="0"/>
          <w:numId w:val="1"/>
        </w:numPr>
        <w:spacing w:line="320" w:lineRule="exact"/>
      </w:pPr>
      <w:r w:rsidRPr="006701C6">
        <w:t xml:space="preserve">Introduzione della </w:t>
      </w:r>
      <w:proofErr w:type="spellStart"/>
      <w:r w:rsidRPr="006701C6">
        <w:rPr>
          <w:i/>
        </w:rPr>
        <w:t>flat</w:t>
      </w:r>
      <w:proofErr w:type="spellEnd"/>
      <w:r w:rsidRPr="006701C6">
        <w:rPr>
          <w:i/>
        </w:rPr>
        <w:t xml:space="preserve"> </w:t>
      </w:r>
      <w:proofErr w:type="spellStart"/>
      <w:r w:rsidRPr="006701C6">
        <w:rPr>
          <w:i/>
        </w:rPr>
        <w:t>tax</w:t>
      </w:r>
      <w:proofErr w:type="spellEnd"/>
      <w:r w:rsidRPr="006701C6">
        <w:t xml:space="preserve"> attraverso l’innalzamento delle soglie minime per il regime semplificato d’imposizione su piccole imprese, professionisti e artigiani </w:t>
      </w:r>
      <w:r w:rsidR="00792838">
        <w:t>(</w:t>
      </w:r>
      <w:r w:rsidRPr="006701C6">
        <w:t>la misura è prevista agire in sostituzione dell’Imposta sul reddito d’impresa</w:t>
      </w:r>
      <w:r w:rsidR="00792838">
        <w:t xml:space="preserve">, </w:t>
      </w:r>
      <w:r w:rsidRPr="006701C6">
        <w:t xml:space="preserve">IRI, che </w:t>
      </w:r>
      <w:r w:rsidR="00BE6664" w:rsidRPr="006701C6">
        <w:t xml:space="preserve">doveva entrare in vigore nel 2019 e che </w:t>
      </w:r>
      <w:r w:rsidRPr="006701C6">
        <w:t>sarà quindi abrogata</w:t>
      </w:r>
      <w:r w:rsidR="00792838">
        <w:t>)</w:t>
      </w:r>
      <w:r w:rsidR="005B101E" w:rsidRPr="006701C6">
        <w:t>.</w:t>
      </w:r>
    </w:p>
    <w:p w:rsidR="008155AD" w:rsidRPr="006701C6" w:rsidRDefault="008155AD" w:rsidP="006701C6">
      <w:pPr>
        <w:pStyle w:val="Paragrafoelenco"/>
        <w:numPr>
          <w:ilvl w:val="0"/>
          <w:numId w:val="1"/>
        </w:numPr>
        <w:spacing w:line="320" w:lineRule="exact"/>
      </w:pPr>
      <w:r w:rsidRPr="006701C6">
        <w:t>Taglio dell’imposta sugli utili d’impresa (IRES) per le aziende che reinvestono i profitti e assumono lavoratori aggiuntivi</w:t>
      </w:r>
      <w:r w:rsidR="00763925" w:rsidRPr="006701C6">
        <w:t xml:space="preserve"> </w:t>
      </w:r>
      <w:r w:rsidR="005B101E" w:rsidRPr="006701C6">
        <w:t>(</w:t>
      </w:r>
      <w:r w:rsidRPr="006701C6">
        <w:t>la misura è prevista agire in sostituzione dello sgravio fiscale per l’Aiuto alla Crescita Economica</w:t>
      </w:r>
      <w:r w:rsidR="00792838">
        <w:t xml:space="preserve">, </w:t>
      </w:r>
      <w:r w:rsidRPr="006701C6">
        <w:t>ACE, che sarà quindi abrogato</w:t>
      </w:r>
      <w:r w:rsidR="005B101E" w:rsidRPr="006701C6">
        <w:t>).</w:t>
      </w:r>
    </w:p>
    <w:p w:rsidR="008155AD" w:rsidRPr="006701C6" w:rsidRDefault="008155AD" w:rsidP="006701C6">
      <w:pPr>
        <w:pStyle w:val="Paragrafoelenco"/>
        <w:numPr>
          <w:ilvl w:val="0"/>
          <w:numId w:val="1"/>
        </w:numPr>
        <w:spacing w:line="320" w:lineRule="exact"/>
      </w:pPr>
      <w:r w:rsidRPr="006701C6">
        <w:t>Interventi di modifica per i regimi agevolativi, per le detrazioni fiscali, per le percentuali di acconto d’imposta e per le imposte ambientali.</w:t>
      </w:r>
    </w:p>
    <w:p w:rsidR="005B101E" w:rsidRPr="006701C6" w:rsidRDefault="008155AD" w:rsidP="006701C6">
      <w:pPr>
        <w:pStyle w:val="Paragrafoelenco"/>
        <w:numPr>
          <w:ilvl w:val="0"/>
          <w:numId w:val="1"/>
        </w:numPr>
        <w:spacing w:line="320" w:lineRule="exact"/>
      </w:pPr>
      <w:r w:rsidRPr="006701C6">
        <w:t>Introduzione della trasmissione elettronica dei corrispettivi</w:t>
      </w:r>
      <w:r w:rsidR="00BE6664" w:rsidRPr="006701C6">
        <w:t xml:space="preserve"> e risoluzione del contenzioso fiscale.</w:t>
      </w:r>
    </w:p>
    <w:p w:rsidR="00BE6664" w:rsidRPr="005B101E" w:rsidRDefault="00BE6664" w:rsidP="006701C6">
      <w:pPr>
        <w:spacing w:before="240" w:line="320" w:lineRule="exact"/>
        <w:rPr>
          <w:i/>
        </w:rPr>
      </w:pPr>
      <w:r w:rsidRPr="005B101E">
        <w:rPr>
          <w:i/>
        </w:rPr>
        <w:t xml:space="preserve">Interventi dal </w:t>
      </w:r>
      <w:r w:rsidR="005B101E" w:rsidRPr="005B101E">
        <w:rPr>
          <w:i/>
        </w:rPr>
        <w:t>lat</w:t>
      </w:r>
      <w:r w:rsidRPr="005B101E">
        <w:rPr>
          <w:i/>
        </w:rPr>
        <w:t>o della spesa</w:t>
      </w:r>
    </w:p>
    <w:p w:rsidR="00BE6664" w:rsidRDefault="00BE6664" w:rsidP="006701C6">
      <w:pPr>
        <w:pStyle w:val="Paragrafoelenco"/>
        <w:numPr>
          <w:ilvl w:val="0"/>
          <w:numId w:val="2"/>
        </w:numPr>
        <w:spacing w:line="320" w:lineRule="exact"/>
      </w:pPr>
      <w:r>
        <w:t xml:space="preserve">Introduzione del reddito di cittadinanza e </w:t>
      </w:r>
      <w:r w:rsidR="008544E6">
        <w:t>potenziamenti dei centri per l’impiego</w:t>
      </w:r>
      <w:r w:rsidR="005B101E">
        <w:t>.</w:t>
      </w:r>
    </w:p>
    <w:p w:rsidR="008544E6" w:rsidRDefault="008544E6" w:rsidP="006701C6">
      <w:pPr>
        <w:pStyle w:val="Paragrafoelenco"/>
        <w:numPr>
          <w:ilvl w:val="0"/>
          <w:numId w:val="2"/>
        </w:numPr>
        <w:spacing w:line="320" w:lineRule="exact"/>
      </w:pPr>
      <w:r>
        <w:t>Rilancio degli investimenti pubblici</w:t>
      </w:r>
      <w:r w:rsidR="005B101E">
        <w:t>.</w:t>
      </w:r>
    </w:p>
    <w:p w:rsidR="008544E6" w:rsidRDefault="008544E6" w:rsidP="006701C6">
      <w:pPr>
        <w:pStyle w:val="Paragrafoelenco"/>
        <w:numPr>
          <w:ilvl w:val="0"/>
          <w:numId w:val="2"/>
        </w:numPr>
        <w:spacing w:line="320" w:lineRule="exact"/>
      </w:pPr>
      <w:r>
        <w:t>Introduzione di un programma straordinario di manutenzione della rete viaria e di collegamento italiana.</w:t>
      </w:r>
    </w:p>
    <w:p w:rsidR="008544E6" w:rsidRDefault="008544E6" w:rsidP="006701C6">
      <w:pPr>
        <w:pStyle w:val="Paragrafoelenco"/>
        <w:numPr>
          <w:ilvl w:val="0"/>
          <w:numId w:val="2"/>
        </w:numPr>
        <w:spacing w:line="320" w:lineRule="exact"/>
      </w:pPr>
      <w:r>
        <w:t>Ristoro dei risparmiatori danneggiati dalle crisi bancarie</w:t>
      </w:r>
      <w:r w:rsidR="005B101E">
        <w:t>.</w:t>
      </w:r>
    </w:p>
    <w:p w:rsidR="008544E6" w:rsidRDefault="008544E6" w:rsidP="006701C6">
      <w:pPr>
        <w:pStyle w:val="Paragrafoelenco"/>
        <w:numPr>
          <w:ilvl w:val="0"/>
          <w:numId w:val="2"/>
        </w:numPr>
        <w:spacing w:line="320" w:lineRule="exact"/>
      </w:pPr>
      <w:r>
        <w:t>Riforma del sistema pensionistico e superamento della L. Fornero</w:t>
      </w:r>
      <w:r w:rsidR="005B101E">
        <w:t>.</w:t>
      </w:r>
    </w:p>
    <w:p w:rsidR="008544E6" w:rsidRPr="005B101E" w:rsidRDefault="008544E6" w:rsidP="006701C6">
      <w:pPr>
        <w:spacing w:before="240" w:line="320" w:lineRule="exact"/>
        <w:rPr>
          <w:i/>
        </w:rPr>
      </w:pPr>
      <w:r w:rsidRPr="005B101E">
        <w:rPr>
          <w:i/>
        </w:rPr>
        <w:t>Altre misure</w:t>
      </w:r>
      <w:r w:rsidR="00E23033">
        <w:rPr>
          <w:i/>
        </w:rPr>
        <w:t xml:space="preserve"> e misure una tantum</w:t>
      </w:r>
    </w:p>
    <w:p w:rsidR="008544E6" w:rsidRDefault="008544E6" w:rsidP="006701C6">
      <w:pPr>
        <w:pStyle w:val="Paragrafoelenco"/>
        <w:numPr>
          <w:ilvl w:val="0"/>
          <w:numId w:val="3"/>
        </w:numPr>
        <w:spacing w:line="320" w:lineRule="exact"/>
      </w:pPr>
      <w:r>
        <w:t xml:space="preserve">Miglioramento dei </w:t>
      </w:r>
      <w:r w:rsidR="00B2599F">
        <w:t>processi decisionali della PA</w:t>
      </w:r>
      <w:r w:rsidR="005B101E">
        <w:t>.</w:t>
      </w:r>
    </w:p>
    <w:p w:rsidR="008544E6" w:rsidRDefault="008544E6" w:rsidP="006701C6">
      <w:pPr>
        <w:pStyle w:val="Paragrafoelenco"/>
        <w:numPr>
          <w:ilvl w:val="0"/>
          <w:numId w:val="3"/>
        </w:numPr>
        <w:spacing w:line="320" w:lineRule="exact"/>
      </w:pPr>
      <w:r>
        <w:t>Miglioramento del codice degli appalti</w:t>
      </w:r>
      <w:r w:rsidR="005B101E">
        <w:t>.</w:t>
      </w:r>
    </w:p>
    <w:p w:rsidR="008544E6" w:rsidRDefault="008544E6" w:rsidP="006701C6">
      <w:pPr>
        <w:pStyle w:val="Paragrafoelenco"/>
        <w:numPr>
          <w:ilvl w:val="0"/>
          <w:numId w:val="3"/>
        </w:numPr>
        <w:spacing w:line="320" w:lineRule="exact"/>
      </w:pPr>
      <w:r>
        <w:t>Standardizzazione dei contratti di partenariato tra pubblico e privato.</w:t>
      </w:r>
    </w:p>
    <w:p w:rsidR="00E23033" w:rsidRDefault="00E23033" w:rsidP="006701C6">
      <w:pPr>
        <w:pStyle w:val="Paragrafoelenco"/>
        <w:numPr>
          <w:ilvl w:val="0"/>
          <w:numId w:val="3"/>
        </w:numPr>
        <w:spacing w:line="320" w:lineRule="exact"/>
      </w:pPr>
      <w:r>
        <w:t>N</w:t>
      </w:r>
      <w:r w:rsidRPr="00E23033">
        <w:t>uova rottamazione delle cartelle con tetto a 500mila euro (l</w:t>
      </w:r>
      <w:r>
        <w:t xml:space="preserve">a misura, riconducibile all’accordo </w:t>
      </w:r>
      <w:r w:rsidRPr="00E23033">
        <w:t>raggiunto sulla cosiddetta “pace fiscale”</w:t>
      </w:r>
      <w:r>
        <w:t xml:space="preserve">, </w:t>
      </w:r>
      <w:r w:rsidRPr="00E23033">
        <w:t>prevede la chiusura delle cartelle Equitalia e avrà un impatto una tantum sui conti)</w:t>
      </w:r>
    </w:p>
    <w:p w:rsidR="00B936C5" w:rsidRDefault="006701C6" w:rsidP="006701C6">
      <w:pPr>
        <w:spacing w:line="320" w:lineRule="exact"/>
      </w:pPr>
      <w:r>
        <w:lastRenderedPageBreak/>
        <w:t xml:space="preserve">Nel complesso, l’impianto della manovra presenta una forte </w:t>
      </w:r>
      <w:r w:rsidR="00B936C5">
        <w:t>tendenza</w:t>
      </w:r>
      <w:r>
        <w:t xml:space="preserve"> redistributiva </w:t>
      </w:r>
      <w:r w:rsidR="00E23033">
        <w:t>e di stimolo alla crescita</w:t>
      </w:r>
      <w:r w:rsidR="00B936C5">
        <w:t>. D</w:t>
      </w:r>
      <w:r>
        <w:t xml:space="preserve">iversamente da quanto fatto </w:t>
      </w:r>
      <w:r w:rsidR="00B936C5">
        <w:t>dai precedenti governi, la proposta di Legge di bilancio 2019</w:t>
      </w:r>
      <w:r>
        <w:t xml:space="preserve"> </w:t>
      </w:r>
      <w:r w:rsidR="00B936C5">
        <w:t>è prevista focalizzarsi su</w:t>
      </w:r>
      <w:r w:rsidR="00836D85">
        <w:t>gli strati</w:t>
      </w:r>
      <w:r>
        <w:t xml:space="preserve"> più deboli della popolazione</w:t>
      </w:r>
      <w:r w:rsidR="00B936C5">
        <w:t xml:space="preserve">, </w:t>
      </w:r>
      <w:r w:rsidR="00E23033">
        <w:t>sia con interventi mirati alle fasce più bisognose della popolazione, sia attraverso il rilancio degli investimenti pubblici</w:t>
      </w:r>
      <w:r>
        <w:t>.</w:t>
      </w:r>
    </w:p>
    <w:p w:rsidR="006701C6" w:rsidRDefault="00836D85" w:rsidP="006701C6">
      <w:pPr>
        <w:spacing w:line="320" w:lineRule="exact"/>
      </w:pPr>
      <w:r>
        <w:t>Nell’ottica</w:t>
      </w:r>
      <w:r w:rsidR="006701C6">
        <w:t xml:space="preserve"> di sostenere </w:t>
      </w:r>
      <w:r>
        <w:t>i soggetti maggiormente colpiti dalla crisi, la manovra intende</w:t>
      </w:r>
      <w:r w:rsidR="00B936C5">
        <w:t xml:space="preserve"> anche </w:t>
      </w:r>
      <w:r>
        <w:t xml:space="preserve">procedere </w:t>
      </w:r>
      <w:r w:rsidR="00EC7975">
        <w:t xml:space="preserve">con </w:t>
      </w:r>
      <w:r>
        <w:t>la creazione di nuove forme di sostegno finanziario e</w:t>
      </w:r>
      <w:r w:rsidR="00E23033">
        <w:t xml:space="preserve"> di rafforzamento delle</w:t>
      </w:r>
      <w:r>
        <w:t xml:space="preserve"> politiche attive del mercato del lavoro (ad es. reddito di cittadinanza e riordino dei centri per l’impiego), e – contestualmente – </w:t>
      </w:r>
      <w:r w:rsidR="00EC7975">
        <w:t xml:space="preserve">con </w:t>
      </w:r>
      <w:r>
        <w:t xml:space="preserve">l’abbattimento del carico fiscale </w:t>
      </w:r>
      <w:r w:rsidR="00EC7975">
        <w:t xml:space="preserve">che grava </w:t>
      </w:r>
      <w:r>
        <w:t xml:space="preserve">sulle unità di produzione </w:t>
      </w:r>
      <w:r w:rsidR="00B936C5">
        <w:t xml:space="preserve">soggette </w:t>
      </w:r>
      <w:r>
        <w:t>a</w:t>
      </w:r>
      <w:r w:rsidR="00B936C5">
        <w:t>l</w:t>
      </w:r>
      <w:r>
        <w:t xml:space="preserve"> regime </w:t>
      </w:r>
      <w:r w:rsidR="00B936C5">
        <w:t xml:space="preserve">fiscale </w:t>
      </w:r>
      <w:r>
        <w:t xml:space="preserve">semplificato. Apprezzabile appare anche lo sforzo di rafforzare la lotta all’evasione attraverso l’adozione di misure più efficaci ed incisive basate sull’uso incrociato di banche dati e lo sviluppo di software informatici ad hoc (ad es. la </w:t>
      </w:r>
      <w:r w:rsidRPr="006701C6">
        <w:t>trasmissione elettronica dei corrispettivi</w:t>
      </w:r>
      <w:r>
        <w:t>). Su quest’ultimo aspetto</w:t>
      </w:r>
      <w:r w:rsidR="00E23033">
        <w:t>,</w:t>
      </w:r>
      <w:r>
        <w:t xml:space="preserve"> </w:t>
      </w:r>
      <w:r w:rsidR="00EC7975">
        <w:t xml:space="preserve">tuttavia, </w:t>
      </w:r>
      <w:r>
        <w:t xml:space="preserve">va </w:t>
      </w:r>
      <w:r w:rsidR="00E23033">
        <w:t>detto che l’indirizzo del Governo</w:t>
      </w:r>
      <w:r w:rsidR="00EC7975">
        <w:t xml:space="preserve"> in tema di contrasto all’evasione fiscale</w:t>
      </w:r>
      <w:r w:rsidR="00E23033">
        <w:t xml:space="preserve"> appare decisamente contraddittorio laddove intravede la possibilità di poter </w:t>
      </w:r>
      <w:r w:rsidR="00EC7975">
        <w:t>proseguire con l’opera di recupero dell</w:t>
      </w:r>
      <w:r w:rsidR="00E23033">
        <w:t>e</w:t>
      </w:r>
      <w:r>
        <w:t xml:space="preserve"> entrate attraverso </w:t>
      </w:r>
      <w:r w:rsidR="00B936C5">
        <w:t>la creazione di nuove occasioni di</w:t>
      </w:r>
      <w:r>
        <w:t xml:space="preserve"> co</w:t>
      </w:r>
      <w:r w:rsidR="00B936C5">
        <w:t>n</w:t>
      </w:r>
      <w:r>
        <w:t>don</w:t>
      </w:r>
      <w:r w:rsidR="00B936C5">
        <w:t>o</w:t>
      </w:r>
      <w:r>
        <w:t xml:space="preserve"> </w:t>
      </w:r>
      <w:r w:rsidR="00B936C5">
        <w:t xml:space="preserve">fiscale </w:t>
      </w:r>
      <w:r w:rsidR="00E23033">
        <w:t>(</w:t>
      </w:r>
      <w:r w:rsidR="00EC7975">
        <w:t>“pace fiscale”).</w:t>
      </w:r>
    </w:p>
    <w:p w:rsidR="00460A47" w:rsidRDefault="00460A47" w:rsidP="00C64658">
      <w:pPr>
        <w:pStyle w:val="Titolo2"/>
        <w:spacing w:before="240" w:after="240"/>
      </w:pPr>
      <w:r>
        <w:t>CRITICITA’</w:t>
      </w:r>
    </w:p>
    <w:p w:rsidR="00DD75DD" w:rsidRPr="008A5051" w:rsidRDefault="00B936C5" w:rsidP="006701C6">
      <w:pPr>
        <w:spacing w:line="320" w:lineRule="exact"/>
      </w:pPr>
      <w:r>
        <w:t xml:space="preserve">Nonostante </w:t>
      </w:r>
      <w:r w:rsidR="00E6409A">
        <w:t xml:space="preserve">questi aspetti (e intenzioni) </w:t>
      </w:r>
      <w:r>
        <w:t>apprezzabi</w:t>
      </w:r>
      <w:r w:rsidR="00E6409A">
        <w:t>li</w:t>
      </w:r>
      <w:r>
        <w:t>, l’impianto attuale della manovra presenta diversi punti di criticità che andrebbero analizzati con particolare attenzione.</w:t>
      </w:r>
      <w:r w:rsidR="00DD75DD" w:rsidRPr="008A5051">
        <w:t xml:space="preserve"> </w:t>
      </w:r>
      <w:r>
        <w:t>In questo paragrafo, proveremo ad evidenziar</w:t>
      </w:r>
      <w:r w:rsidR="00EB7E52">
        <w:t>e alcuni elementi di fragilità contenuti nella Nota particolarmente legati alla tenuta dei conti pubblici.</w:t>
      </w:r>
      <w:r>
        <w:t xml:space="preserve"> </w:t>
      </w:r>
      <w:r w:rsidR="00EB7E52">
        <w:t>A causa del</w:t>
      </w:r>
      <w:r w:rsidR="00DD75DD" w:rsidRPr="008A5051">
        <w:t xml:space="preserve">l’elevata coltre di incertezza che circonda l’attuale contesto macroeconomico che caratterizza l’Italia, </w:t>
      </w:r>
      <w:r w:rsidR="008A5051" w:rsidRPr="008A5051">
        <w:t>l’analisi</w:t>
      </w:r>
      <w:r w:rsidR="00EB7E52">
        <w:t xml:space="preserve"> che segue</w:t>
      </w:r>
      <w:r w:rsidR="008A5051" w:rsidRPr="008A5051">
        <w:t xml:space="preserve"> si concentrerà solo sul prossimo biennio 2019-2020.</w:t>
      </w:r>
    </w:p>
    <w:p w:rsidR="009B4726" w:rsidRPr="009B4726" w:rsidRDefault="00C64658" w:rsidP="006701C6">
      <w:pPr>
        <w:spacing w:line="320" w:lineRule="exact"/>
        <w:rPr>
          <w:b/>
        </w:rPr>
      </w:pPr>
      <w:r>
        <w:rPr>
          <w:b/>
        </w:rPr>
        <w:t>A</w:t>
      </w:r>
      <w:r w:rsidR="00004A36">
        <w:rPr>
          <w:b/>
        </w:rPr>
        <w:t xml:space="preserve">) </w:t>
      </w:r>
      <w:r w:rsidR="009B4726" w:rsidRPr="009B4726">
        <w:rPr>
          <w:b/>
        </w:rPr>
        <w:t>Inattendibilità delle previsioni di crescita (reale)</w:t>
      </w:r>
      <w:r w:rsidR="006701C6">
        <w:rPr>
          <w:b/>
        </w:rPr>
        <w:t xml:space="preserve"> per il 2019</w:t>
      </w:r>
    </w:p>
    <w:p w:rsidR="00460A47" w:rsidRDefault="00EC7975" w:rsidP="006701C6">
      <w:pPr>
        <w:spacing w:line="320" w:lineRule="exact"/>
      </w:pPr>
      <w:r>
        <w:t xml:space="preserve">La Nota pone particolare enfasi sulla natura espansiva della prossima Legge di </w:t>
      </w:r>
      <w:r w:rsidR="00EB7E52">
        <w:t>b</w:t>
      </w:r>
      <w:r>
        <w:t xml:space="preserve">ilancio 2018. </w:t>
      </w:r>
      <w:r w:rsidR="00EB7E52">
        <w:t>G</w:t>
      </w:r>
      <w:r w:rsidR="00460A47">
        <w:t xml:space="preserve">li effetti complessivi sul tasso di crescita previsti dal </w:t>
      </w:r>
      <w:r>
        <w:t>G</w:t>
      </w:r>
      <w:r w:rsidR="00460A47">
        <w:t>overno</w:t>
      </w:r>
      <w:r>
        <w:t>, raggruppati per “categorie aggregate”,</w:t>
      </w:r>
      <w:r w:rsidR="00460A47">
        <w:t xml:space="preserve"> sono quelli riportati dalla tab</w:t>
      </w:r>
      <w:r>
        <w:t>.1</w:t>
      </w:r>
      <w:r w:rsidR="00460A47">
        <w:t>.</w:t>
      </w:r>
    </w:p>
    <w:p w:rsidR="009C61BB" w:rsidRDefault="009C61BB" w:rsidP="006701C6">
      <w:pPr>
        <w:pStyle w:val="Didascalia"/>
        <w:keepNext/>
        <w:spacing w:line="320" w:lineRule="exact"/>
      </w:pPr>
      <w:r>
        <w:t xml:space="preserve">Tabella </w:t>
      </w:r>
      <w:r w:rsidR="00E6409A">
        <w:rPr>
          <w:noProof/>
        </w:rPr>
        <w:fldChar w:fldCharType="begin"/>
      </w:r>
      <w:r w:rsidR="00E6409A">
        <w:rPr>
          <w:noProof/>
        </w:rPr>
        <w:instrText xml:space="preserve"> SEQ Tabella \* ARABIC </w:instrText>
      </w:r>
      <w:r w:rsidR="00E6409A">
        <w:rPr>
          <w:noProof/>
        </w:rPr>
        <w:fldChar w:fldCharType="separate"/>
      </w:r>
      <w:r w:rsidR="002866C0">
        <w:rPr>
          <w:noProof/>
        </w:rPr>
        <w:t>1</w:t>
      </w:r>
      <w:r w:rsidR="00E6409A">
        <w:rPr>
          <w:noProof/>
        </w:rPr>
        <w:fldChar w:fldCharType="end"/>
      </w:r>
      <w:r w:rsidR="00EB7E52">
        <w:rPr>
          <w:noProof/>
        </w:rPr>
        <w:t xml:space="preserve">: </w:t>
      </w:r>
      <w:r w:rsidR="00EB7E52" w:rsidRPr="009C61BB">
        <w:t>impatto macroeconomico delle misure programmatiche rispetto allo scenario tendenziale</w:t>
      </w:r>
      <w:r w:rsidRPr="009C61BB">
        <w:t xml:space="preserve"> (differenze tra i tassi di variazione del PIL</w:t>
      </w:r>
      <w:r w:rsidR="00EB7E52">
        <w:t xml:space="preserve">. </w:t>
      </w:r>
      <w:r>
        <w:t xml:space="preserve"> La voce </w:t>
      </w:r>
      <w:r w:rsidR="00EB7E52">
        <w:t>“Scostamento”</w:t>
      </w:r>
      <w:r>
        <w:t xml:space="preserve"> indica la deviazione complessiva rispetto al quadro tendenziale imputabile alla manovra.</w:t>
      </w:r>
      <w:r w:rsidR="00426B08">
        <w:t xml:space="preserve"> – Fonte</w:t>
      </w:r>
      <w:r w:rsidR="00C253AC">
        <w:t>:</w:t>
      </w:r>
      <w:r w:rsidR="00426B08">
        <w:t xml:space="preserve"> Nota di Aggiornamento al Documento di Economia e Finanza 2018</w:t>
      </w:r>
    </w:p>
    <w:tbl>
      <w:tblPr>
        <w:tblW w:w="8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960"/>
        <w:gridCol w:w="960"/>
        <w:gridCol w:w="960"/>
      </w:tblGrid>
      <w:tr w:rsidR="00384454" w:rsidRPr="00384454" w:rsidTr="006701C6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2021</w:t>
            </w:r>
          </w:p>
        </w:tc>
      </w:tr>
      <w:tr w:rsidR="00384454" w:rsidRPr="00384454" w:rsidTr="006701C6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Tasso di crescita programmatico (a)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1,5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1,6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1,4 </w:t>
            </w:r>
          </w:p>
        </w:tc>
      </w:tr>
      <w:tr w:rsidR="00384454" w:rsidRPr="00384454" w:rsidTr="006701C6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Tasso di crescita tendenziale (b)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0,9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1,1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1,1 </w:t>
            </w:r>
          </w:p>
        </w:tc>
      </w:tr>
      <w:tr w:rsidR="00384454" w:rsidRPr="00384454" w:rsidTr="006701C6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Scostamento (a-b)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0,6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0,5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0,3 </w:t>
            </w:r>
          </w:p>
        </w:tc>
      </w:tr>
      <w:tr w:rsidR="00384454" w:rsidRPr="00384454" w:rsidTr="006701C6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84454" w:rsidRPr="00384454" w:rsidTr="006701C6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Contributo della manovra alla crescita: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84454" w:rsidRPr="00384454" w:rsidTr="006701C6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-- Rimodulazione imposte indirette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FF0000"/>
                <w:lang w:eastAsia="it-IT"/>
              </w:rPr>
              <w:t xml:space="preserve">-0,2 </w:t>
            </w:r>
          </w:p>
        </w:tc>
      </w:tr>
      <w:tr w:rsidR="00384454" w:rsidRPr="00384454" w:rsidTr="006701C6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-- Misure espansive per la crescita e l'innovazione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0,7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0,5 </w:t>
            </w:r>
          </w:p>
        </w:tc>
      </w:tr>
      <w:tr w:rsidR="00384454" w:rsidRPr="00384454" w:rsidTr="006701C6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-- Politiche invariate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0,1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0,0 </w:t>
            </w:r>
          </w:p>
        </w:tc>
      </w:tr>
      <w:tr w:rsidR="00384454" w:rsidRPr="00384454" w:rsidTr="006701C6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-- Coperture finanziarie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FF0000"/>
                <w:lang w:eastAsia="it-IT"/>
              </w:rPr>
              <w:t xml:space="preserve">-0,4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FF0000"/>
                <w:lang w:eastAsia="it-IT"/>
              </w:rPr>
              <w:t xml:space="preserve">-0,1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54" w:rsidRPr="00384454" w:rsidRDefault="00384454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0,0 </w:t>
            </w:r>
          </w:p>
        </w:tc>
      </w:tr>
    </w:tbl>
    <w:p w:rsidR="00460A47" w:rsidRDefault="00605A1F" w:rsidP="00F35C55">
      <w:pPr>
        <w:spacing w:before="180" w:after="60" w:line="320" w:lineRule="exact"/>
      </w:pPr>
      <w:r>
        <w:t>Le criticità rilev</w:t>
      </w:r>
      <w:r w:rsidR="00177C95">
        <w:t>abili sono:</w:t>
      </w:r>
    </w:p>
    <w:p w:rsidR="00EB7E52" w:rsidRDefault="00177C95" w:rsidP="006701C6">
      <w:pPr>
        <w:pStyle w:val="Paragrafoelenco"/>
        <w:numPr>
          <w:ilvl w:val="0"/>
          <w:numId w:val="4"/>
        </w:numPr>
        <w:spacing w:line="320" w:lineRule="exact"/>
      </w:pPr>
      <w:r>
        <w:lastRenderedPageBreak/>
        <w:t>Il dato tendenziale riferito al 2019 (+0,9%) sconta, al suo interno, la presenza di un aumento dell’Iva dovuto all’attivazione delle clausole di salvaguardia. La rimozione di dette clausole innescherebbero, sulla carta,</w:t>
      </w:r>
      <w:r w:rsidR="00AA1299">
        <w:t xml:space="preserve"> un effetto espansivo sul Pil valutato in</w:t>
      </w:r>
      <w:r>
        <w:t xml:space="preserve"> circa 2/10 di punto. In realtà, l’attuale fase di rallentamento che l’economia italiana sta attraversando rende la crescita dello 0,9% un dato in linea con</w:t>
      </w:r>
      <w:r w:rsidR="00366256">
        <w:t xml:space="preserve"> 1)</w:t>
      </w:r>
      <w:r>
        <w:t xml:space="preserve"> la correzione del Pil dovuta al mut</w:t>
      </w:r>
      <w:r w:rsidR="00366256">
        <w:t>ato scenario internazionale;</w:t>
      </w:r>
      <w:r w:rsidR="00AA1299">
        <w:t xml:space="preserve"> 2)</w:t>
      </w:r>
      <w:r w:rsidR="00366256">
        <w:t xml:space="preserve"> il</w:t>
      </w:r>
      <w:r>
        <w:t xml:space="preserve"> venir meno delle ricadute sulla crescita delle politiche di sostegno del reddito disponibile delle famiglie che i Governi Renzi e Gentiloni</w:t>
      </w:r>
      <w:r w:rsidR="00366256">
        <w:t xml:space="preserve"> (</w:t>
      </w:r>
      <w:r>
        <w:t xml:space="preserve">bonus di 80€ </w:t>
      </w:r>
      <w:r w:rsidR="00366256">
        <w:t xml:space="preserve">e sconti alle imprese per le nuove assunzioni </w:t>
      </w:r>
      <w:r>
        <w:t>su tutti). Dando ormai da tempo per scontato l’</w:t>
      </w:r>
      <w:r w:rsidR="00366256">
        <w:t>abrogazione delle clausole, è possibile che gli</w:t>
      </w:r>
      <w:r>
        <w:t xml:space="preserve"> opera</w:t>
      </w:r>
      <w:r w:rsidR="00366256">
        <w:t>tori considerino</w:t>
      </w:r>
      <w:r>
        <w:t xml:space="preserve"> lo </w:t>
      </w:r>
      <w:r w:rsidR="00366256">
        <w:t>0,9% di crescita per il 2019 esattamente il</w:t>
      </w:r>
      <w:r>
        <w:t xml:space="preserve"> d</w:t>
      </w:r>
      <w:r w:rsidR="00366256">
        <w:t>ato di riferimento su cui basare le proprie decisioni di investimento, e pertanto il punto di partenza su cui valutare gli effetti espansivi della manovra.</w:t>
      </w:r>
    </w:p>
    <w:p w:rsidR="00605A1F" w:rsidRDefault="00EB7E52" w:rsidP="00EB7E52">
      <w:pPr>
        <w:pStyle w:val="Paragrafoelenco"/>
        <w:spacing w:line="320" w:lineRule="exact"/>
      </w:pPr>
      <w:r>
        <w:t>Tutto ciò</w:t>
      </w:r>
      <w:r w:rsidR="00605A1F">
        <w:t xml:space="preserve"> ci porterebbe</w:t>
      </w:r>
      <w:r w:rsidR="00114E6D">
        <w:t xml:space="preserve"> </w:t>
      </w:r>
      <w:r w:rsidR="00605A1F">
        <w:t xml:space="preserve">a rivedere la presenza di questo dato nella nostra previsione se non fosse per il fatto che questo è uno dei risultati automatici generati dalla necessità di ricalibrare il modello ITEM </w:t>
      </w:r>
      <w:r>
        <w:t>a causa del disinnesco</w:t>
      </w:r>
      <w:r w:rsidR="00DC5CC7">
        <w:t xml:space="preserve"> </w:t>
      </w:r>
      <w:r>
        <w:t>del</w:t>
      </w:r>
      <w:r w:rsidR="00DC5CC7">
        <w:t>le clausole di salvaguardia.</w:t>
      </w:r>
      <w:r w:rsidR="006701C6">
        <w:t xml:space="preserve"> Tuttavia, la reale efficacia di questo dato è tutt’altro che scontata e mette ancor una volta in evidenza l’opportunità di eliminare, una volta e per tutte, la presenza delle clausole.</w:t>
      </w:r>
    </w:p>
    <w:p w:rsidR="007715DA" w:rsidRDefault="00366256" w:rsidP="006701C6">
      <w:pPr>
        <w:pStyle w:val="Paragrafoelenco"/>
        <w:numPr>
          <w:ilvl w:val="0"/>
          <w:numId w:val="4"/>
        </w:numPr>
        <w:spacing w:line="320" w:lineRule="exact"/>
      </w:pPr>
      <w:r>
        <w:t>Nella Nota, la maggi</w:t>
      </w:r>
      <w:r w:rsidR="00114E6D">
        <w:t>or crescita dello 0,7 e 0,4</w:t>
      </w:r>
      <w:r>
        <w:t>% per il 2019 e 2020 riconducibile all</w:t>
      </w:r>
      <w:r w:rsidR="00114E6D">
        <w:t>e “m</w:t>
      </w:r>
      <w:r w:rsidR="00114E6D" w:rsidRPr="00114E6D">
        <w:t>isure espansive per la crescita e l'innovazione</w:t>
      </w:r>
      <w:r w:rsidR="00114E6D">
        <w:t>”</w:t>
      </w:r>
      <w:r>
        <w:t xml:space="preserve">, ingloba sia gli effetti espansivi dovuti </w:t>
      </w:r>
      <w:r w:rsidR="00114E6D">
        <w:t>all’incremento della spesa per investimenti</w:t>
      </w:r>
      <w:r>
        <w:t>, sia la maggiore crescita dovuta</w:t>
      </w:r>
      <w:r w:rsidR="00EB7E52">
        <w:t xml:space="preserve"> al taglio dell’IRES e</w:t>
      </w:r>
      <w:r>
        <w:t xml:space="preserve"> all’introduzione della </w:t>
      </w:r>
      <w:proofErr w:type="spellStart"/>
      <w:r w:rsidRPr="006701C6">
        <w:rPr>
          <w:i/>
        </w:rPr>
        <w:t>flat</w:t>
      </w:r>
      <w:proofErr w:type="spellEnd"/>
      <w:r w:rsidRPr="006701C6">
        <w:rPr>
          <w:i/>
        </w:rPr>
        <w:t xml:space="preserve"> </w:t>
      </w:r>
      <w:proofErr w:type="spellStart"/>
      <w:r w:rsidRPr="006701C6">
        <w:rPr>
          <w:i/>
        </w:rPr>
        <w:t>tax</w:t>
      </w:r>
      <w:proofErr w:type="spellEnd"/>
      <w:r>
        <w:t xml:space="preserve"> per le partite Iva in regime semplificato, quest</w:t>
      </w:r>
      <w:r w:rsidR="00EB7E52">
        <w:t>’</w:t>
      </w:r>
      <w:r>
        <w:t>ultim</w:t>
      </w:r>
      <w:r w:rsidR="00EB7E52">
        <w:t>a</w:t>
      </w:r>
      <w:r>
        <w:t xml:space="preserve"> </w:t>
      </w:r>
      <w:r w:rsidR="00EB7E52">
        <w:t xml:space="preserve">valutata </w:t>
      </w:r>
      <w:r>
        <w:t xml:space="preserve">al netto </w:t>
      </w:r>
      <w:r w:rsidR="00EB7E52">
        <w:t>degli effetti indotti</w:t>
      </w:r>
      <w:r w:rsidR="002F2B00">
        <w:t xml:space="preserve"> </w:t>
      </w:r>
      <w:r w:rsidR="00EB7E52">
        <w:t>d</w:t>
      </w:r>
      <w:r w:rsidR="002F2B00">
        <w:t>all’abrogazione dell’IRI</w:t>
      </w:r>
      <w:r w:rsidR="00763925">
        <w:t xml:space="preserve"> </w:t>
      </w:r>
      <w:r w:rsidR="00114E6D">
        <w:t>e dell’ACE</w:t>
      </w:r>
      <w:r w:rsidR="009B4726">
        <w:t>.</w:t>
      </w:r>
    </w:p>
    <w:p w:rsidR="007715DA" w:rsidRDefault="007715DA" w:rsidP="00F35C55">
      <w:pPr>
        <w:pStyle w:val="Paragrafoelenco"/>
        <w:spacing w:after="0" w:line="320" w:lineRule="exact"/>
        <w:contextualSpacing w:val="0"/>
      </w:pPr>
      <w:r>
        <w:t>S</w:t>
      </w:r>
      <w:r w:rsidR="00114E6D">
        <w:t xml:space="preserve">tando ai numeri forniti dalla Nota in merito all’entità delle misure a favore dell’espansione della spesa produttiva (investimenti fissi e piano straordinario di manutenzione della rete viaria), </w:t>
      </w:r>
      <w:r w:rsidR="003169BE">
        <w:t>una stima contenitiva del</w:t>
      </w:r>
      <w:r w:rsidR="00114E6D">
        <w:t>l</w:t>
      </w:r>
      <w:r w:rsidR="003169BE">
        <w:t xml:space="preserve">a maggiore </w:t>
      </w:r>
      <w:r w:rsidR="00114E6D">
        <w:t xml:space="preserve">crescita </w:t>
      </w:r>
      <w:r w:rsidR="003169BE">
        <w:t>riconducibil</w:t>
      </w:r>
      <w:r>
        <w:t>e a questa categoria di misure</w:t>
      </w:r>
      <w:r w:rsidR="003169BE">
        <w:t xml:space="preserve"> </w:t>
      </w:r>
      <w:r>
        <w:t xml:space="preserve">non </w:t>
      </w:r>
      <w:r w:rsidR="00AA1299">
        <w:t>dovrebbe</w:t>
      </w:r>
      <w:r>
        <w:t xml:space="preserve"> </w:t>
      </w:r>
      <w:r w:rsidR="00AA1299">
        <w:t>superare</w:t>
      </w:r>
      <w:r w:rsidR="003169BE">
        <w:t xml:space="preserve">, rispettivamente, </w:t>
      </w:r>
      <w:r w:rsidR="00AA1299">
        <w:t>lo</w:t>
      </w:r>
      <w:r w:rsidR="00114E6D">
        <w:t xml:space="preserve"> 0,3 e 0,4% all’</w:t>
      </w:r>
      <w:r w:rsidR="009B4726">
        <w:t>anno, facendo sì che</w:t>
      </w:r>
      <w:r w:rsidR="003169BE">
        <w:t xml:space="preserve"> la maggiore crescita dovuta anche alle altre misure</w:t>
      </w:r>
      <w:r w:rsidR="00AA1299">
        <w:t xml:space="preserve"> ritenute espansive</w:t>
      </w:r>
      <w:r w:rsidR="003169BE">
        <w:t xml:space="preserve"> (l’alleggerimento del carico fiscale) </w:t>
      </w:r>
      <w:r w:rsidR="009B4726">
        <w:t>sia stimabile in</w:t>
      </w:r>
      <w:r w:rsidR="003169BE">
        <w:t xml:space="preserve"> 0,4% e 0</w:t>
      </w:r>
      <w:r w:rsidR="009B4726">
        <w:t xml:space="preserve"> per il 2019 e 2010</w:t>
      </w:r>
      <w:r w:rsidR="003169BE">
        <w:t>. Dati i moltiplica</w:t>
      </w:r>
      <w:r w:rsidR="00AA1299">
        <w:t>tori ITEM, il dato riferito al 2019</w:t>
      </w:r>
      <w:r w:rsidR="009B4726">
        <w:t xml:space="preserve"> appare</w:t>
      </w:r>
      <w:r w:rsidR="003169BE">
        <w:t xml:space="preserve"> </w:t>
      </w:r>
      <w:r w:rsidR="00AA1299">
        <w:t>eccessivo</w:t>
      </w:r>
      <w:r w:rsidR="003169BE">
        <w:t xml:space="preserve">, specie se si considera che le coperture </w:t>
      </w:r>
      <w:r w:rsidR="009B4726">
        <w:t xml:space="preserve">per finanziare i tagli </w:t>
      </w:r>
      <w:r w:rsidR="003169BE">
        <w:t>avranno come punto di riferimento la revisione del sistema delle agevolazioni fiscali e delle detrazioni che inevitabilmente finiranno per agire in maniera</w:t>
      </w:r>
      <w:r w:rsidR="009B4726">
        <w:t xml:space="preserve"> recessiva sull’andamento del PIL</w:t>
      </w:r>
      <w:r w:rsidR="00AA1299">
        <w:t xml:space="preserve"> sia dal lato della domanda che della produzione</w:t>
      </w:r>
      <w:r w:rsidR="009B4726">
        <w:t>. Una stima più accurata dell’intero pacchetto “m</w:t>
      </w:r>
      <w:r w:rsidR="009B4726" w:rsidRPr="00114E6D">
        <w:t>isure espansive per la crescita e l'innovazione</w:t>
      </w:r>
      <w:r w:rsidR="009B4726">
        <w:t xml:space="preserve">” dovrebbe </w:t>
      </w:r>
      <w:r w:rsidR="00DC5CC7">
        <w:t>quindi non eccedere lo 0,4% sia per il 2019 che</w:t>
      </w:r>
      <w:r w:rsidR="009B4726">
        <w:t xml:space="preserve"> per il 2020.</w:t>
      </w:r>
      <w:r>
        <w:t xml:space="preserve"> </w:t>
      </w:r>
    </w:p>
    <w:p w:rsidR="009B4726" w:rsidRDefault="009B4726" w:rsidP="00F35C55">
      <w:pPr>
        <w:spacing w:line="320" w:lineRule="exact"/>
      </w:pPr>
      <w:r>
        <w:t>La tab</w:t>
      </w:r>
      <w:r w:rsidR="007715DA">
        <w:t>.2</w:t>
      </w:r>
      <w:r>
        <w:t xml:space="preserve"> </w:t>
      </w:r>
      <w:r w:rsidR="000C086F">
        <w:t>sintetizza quanto detto finora</w:t>
      </w:r>
      <w:r w:rsidR="00DA43FD">
        <w:t xml:space="preserve"> riguardo le previsioni di crescita del PIL.</w:t>
      </w:r>
    </w:p>
    <w:p w:rsidR="00A2579D" w:rsidRDefault="00A2579D" w:rsidP="00426B08">
      <w:pPr>
        <w:pStyle w:val="Didascalia"/>
        <w:keepNext/>
        <w:spacing w:line="320" w:lineRule="exact"/>
        <w:jc w:val="center"/>
      </w:pPr>
      <w:r>
        <w:t xml:space="preserve">Tabella </w:t>
      </w:r>
      <w:r w:rsidR="00E6409A">
        <w:rPr>
          <w:noProof/>
        </w:rPr>
        <w:fldChar w:fldCharType="begin"/>
      </w:r>
      <w:r w:rsidR="00E6409A">
        <w:rPr>
          <w:noProof/>
        </w:rPr>
        <w:instrText xml:space="preserve"> SEQ Tabella \* ARABIC </w:instrText>
      </w:r>
      <w:r w:rsidR="00E6409A">
        <w:rPr>
          <w:noProof/>
        </w:rPr>
        <w:fldChar w:fldCharType="separate"/>
      </w:r>
      <w:r w:rsidR="002866C0">
        <w:rPr>
          <w:noProof/>
        </w:rPr>
        <w:t>2</w:t>
      </w:r>
      <w:r w:rsidR="00E6409A">
        <w:rPr>
          <w:noProof/>
        </w:rPr>
        <w:fldChar w:fldCharType="end"/>
      </w:r>
      <w:r>
        <w:t xml:space="preserve">: </w:t>
      </w:r>
      <w:r w:rsidR="00C253AC">
        <w:t>Correzione del tasso di crescita programmatico – Fonte: elaborazioni Nens su dati governativi</w:t>
      </w:r>
    </w:p>
    <w:tbl>
      <w:tblPr>
        <w:tblW w:w="7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960"/>
        <w:gridCol w:w="960"/>
      </w:tblGrid>
      <w:tr w:rsidR="009B4726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</w:tr>
      <w:tr w:rsidR="009B4726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Tasso di crescita programmatico (a)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1,</w:t>
            </w:r>
            <w:r w:rsidR="00362FAE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1,</w:t>
            </w:r>
            <w:r w:rsidR="00362FAE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</w:tr>
      <w:tr w:rsidR="00362FAE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AE" w:rsidRPr="00362FAE" w:rsidRDefault="00362FAE" w:rsidP="006701C6">
            <w:pPr>
              <w:pStyle w:val="Paragrafoelenco"/>
              <w:numPr>
                <w:ilvl w:val="0"/>
                <w:numId w:val="5"/>
              </w:num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Correzione Nens (b)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FAE" w:rsidRPr="00362FAE" w:rsidRDefault="003511AD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>
              <w:rPr>
                <w:rFonts w:ascii="Calibri" w:eastAsia="Times New Roman" w:hAnsi="Calibri" w:cs="Calibri"/>
                <w:color w:val="FF0000"/>
                <w:lang w:eastAsia="it-IT"/>
              </w:rPr>
              <w:t>-0,3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62FAE" w:rsidRPr="00362FAE" w:rsidRDefault="003511AD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>
              <w:rPr>
                <w:rFonts w:ascii="Calibri" w:eastAsia="Times New Roman" w:hAnsi="Calibri" w:cs="Calibri"/>
                <w:color w:val="FF0000"/>
                <w:lang w:eastAsia="it-IT"/>
              </w:rPr>
              <w:t>0,0</w:t>
            </w:r>
          </w:p>
        </w:tc>
      </w:tr>
      <w:tr w:rsidR="00050A19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A19" w:rsidRPr="00384454" w:rsidRDefault="00050A19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Tasso di crescita programmatico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corretto (c=a-b)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A19" w:rsidRPr="00384454" w:rsidRDefault="00050A19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1,2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50A19" w:rsidRPr="00384454" w:rsidRDefault="00050A19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1,6</w:t>
            </w:r>
          </w:p>
        </w:tc>
      </w:tr>
      <w:tr w:rsidR="009B4726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Tasso di crescita tendenziale (</w:t>
            </w:r>
            <w:r w:rsidR="00050A19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0,9 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1,1 </w:t>
            </w:r>
          </w:p>
        </w:tc>
      </w:tr>
      <w:tr w:rsidR="009B4726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Scostamento </w:t>
            </w:r>
            <w:r w:rsidR="00362FA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 netto della correzione </w:t>
            </w: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(</w:t>
            </w:r>
            <w:r w:rsidR="00050A19">
              <w:rPr>
                <w:rFonts w:ascii="Calibri" w:eastAsia="Times New Roman" w:hAnsi="Calibri" w:cs="Calibri"/>
                <w:color w:val="000000"/>
                <w:lang w:eastAsia="it-IT"/>
              </w:rPr>
              <w:t>e=c-d</w:t>
            </w: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0,3</w:t>
            </w:r>
            <w:r w:rsidR="009B4726"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0,5</w:t>
            </w:r>
            <w:r w:rsidR="009B4726"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</w:tr>
      <w:tr w:rsidR="009B4726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4726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Contributo della manovra alla crescita: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4726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-- Rimodulazione imposte indirette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3511AD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0,2</w:t>
            </w:r>
            <w:r w:rsidR="009B4726"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3511AD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0,2</w:t>
            </w:r>
            <w:r w:rsidR="009B4726"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</w:t>
            </w:r>
          </w:p>
        </w:tc>
      </w:tr>
      <w:tr w:rsidR="009B4726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lastRenderedPageBreak/>
              <w:t xml:space="preserve"> -- Misure espansive per la crescita e l'innovazione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0,</w:t>
            </w:r>
            <w:r w:rsidR="003511AD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4</w:t>
            </w: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0,4 </w:t>
            </w:r>
          </w:p>
        </w:tc>
      </w:tr>
      <w:tr w:rsidR="009B4726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-- Politiche invariate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0,1 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0,0 </w:t>
            </w:r>
          </w:p>
        </w:tc>
      </w:tr>
      <w:tr w:rsidR="009B4726" w:rsidRPr="00384454" w:rsidTr="00EC7975">
        <w:trPr>
          <w:trHeight w:val="290"/>
          <w:jc w:val="center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 -- Coperture finanziarie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FF0000"/>
                <w:lang w:eastAsia="it-IT"/>
              </w:rPr>
              <w:t xml:space="preserve">-0,4 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726" w:rsidRPr="00384454" w:rsidRDefault="009B4726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384454">
              <w:rPr>
                <w:rFonts w:ascii="Calibri" w:eastAsia="Times New Roman" w:hAnsi="Calibri" w:cs="Calibri"/>
                <w:i/>
                <w:iCs/>
                <w:color w:val="FF0000"/>
                <w:lang w:eastAsia="it-IT"/>
              </w:rPr>
              <w:t xml:space="preserve">-0,1 </w:t>
            </w:r>
          </w:p>
        </w:tc>
      </w:tr>
    </w:tbl>
    <w:p w:rsidR="00CB418D" w:rsidRPr="009B4726" w:rsidRDefault="00C64658" w:rsidP="006701C6">
      <w:pPr>
        <w:spacing w:before="240" w:line="320" w:lineRule="exact"/>
        <w:rPr>
          <w:b/>
        </w:rPr>
      </w:pPr>
      <w:r>
        <w:rPr>
          <w:b/>
        </w:rPr>
        <w:t>B</w:t>
      </w:r>
      <w:r w:rsidR="00CB418D" w:rsidRPr="009B4726">
        <w:rPr>
          <w:b/>
        </w:rPr>
        <w:t xml:space="preserve">) </w:t>
      </w:r>
      <w:r w:rsidR="00CB418D">
        <w:rPr>
          <w:b/>
        </w:rPr>
        <w:t xml:space="preserve">Inattendibilità della </w:t>
      </w:r>
      <w:r w:rsidR="006C265E">
        <w:rPr>
          <w:b/>
        </w:rPr>
        <w:t xml:space="preserve">previsione della </w:t>
      </w:r>
      <w:r w:rsidR="00CB418D">
        <w:rPr>
          <w:b/>
        </w:rPr>
        <w:t>spesa per interessi</w:t>
      </w:r>
    </w:p>
    <w:p w:rsidR="006C265E" w:rsidRDefault="00823D57" w:rsidP="00823D57">
      <w:pPr>
        <w:spacing w:line="320" w:lineRule="exact"/>
      </w:pPr>
      <w:r>
        <w:t>L</w:t>
      </w:r>
      <w:r w:rsidR="00CB418D">
        <w:t xml:space="preserve">a spesa per interessi </w:t>
      </w:r>
      <w:r>
        <w:t xml:space="preserve">inserita in Nota </w:t>
      </w:r>
      <w:r w:rsidR="00CB418D">
        <w:t xml:space="preserve">è prevista seguire un sentiero di espansione leggermente in salita: </w:t>
      </w:r>
      <w:r w:rsidR="001B3A53">
        <w:t>3,7</w:t>
      </w:r>
      <w:r w:rsidR="00CB418D">
        <w:t xml:space="preserve">, </w:t>
      </w:r>
      <w:r w:rsidR="001B3A53">
        <w:t>3,8</w:t>
      </w:r>
      <w:r w:rsidR="00CB418D">
        <w:t xml:space="preserve"> e </w:t>
      </w:r>
      <w:r w:rsidR="001B3A53">
        <w:t>3,9</w:t>
      </w:r>
      <w:r w:rsidR="00CB418D">
        <w:t>% del PIL per, rispettivamente, gli anni 2019, 2020 e 2021. Messi a confronto con le previsioni contenute nel DEF di aprile, gli scostamenti attesi</w:t>
      </w:r>
      <w:r w:rsidR="006C265E">
        <w:t xml:space="preserve"> dal governo</w:t>
      </w:r>
      <w:r w:rsidR="00CB418D">
        <w:t xml:space="preserve"> – vale </w:t>
      </w:r>
      <w:r w:rsidR="006C265E">
        <w:t xml:space="preserve">a dire gli incremento di </w:t>
      </w:r>
      <w:r w:rsidR="00CB418D">
        <w:t xml:space="preserve">spesa </w:t>
      </w:r>
      <w:r w:rsidR="006C265E">
        <w:t>ritenuti idonei a delineare il costo di rifinanziamento del debito</w:t>
      </w:r>
      <w:r w:rsidR="00CB418D">
        <w:t xml:space="preserve">– risultano essere assai contenuti e complessivamente pari a +0,1, +0,2 e +0,3 punti di PIL. </w:t>
      </w:r>
      <w:r>
        <w:t>In realtà, u</w:t>
      </w:r>
      <w:r w:rsidR="00CB418D">
        <w:t xml:space="preserve">na riflessione </w:t>
      </w:r>
      <w:r>
        <w:t xml:space="preserve">un po’ più approfondita </w:t>
      </w:r>
      <w:r w:rsidR="00CB418D">
        <w:t>sulle attuali condizioni dei mercati ci dicono che</w:t>
      </w:r>
      <w:r w:rsidR="006C265E">
        <w:t>:</w:t>
      </w:r>
    </w:p>
    <w:p w:rsidR="006C265E" w:rsidRDefault="00CB418D" w:rsidP="006701C6">
      <w:pPr>
        <w:spacing w:line="320" w:lineRule="exact"/>
        <w:ind w:left="360"/>
      </w:pPr>
      <w:r>
        <w:t>1) nel corso del mese di dicembre</w:t>
      </w:r>
      <w:r w:rsidR="009A3087">
        <w:t xml:space="preserve"> la BCE dovrebbe avviare una fase di riduzione del programma di quantitative </w:t>
      </w:r>
      <w:proofErr w:type="spellStart"/>
      <w:r w:rsidR="009A3087">
        <w:t>easing</w:t>
      </w:r>
      <w:proofErr w:type="spellEnd"/>
      <w:r w:rsidR="009A3087">
        <w:t xml:space="preserve"> </w:t>
      </w:r>
      <w:r w:rsidR="006C265E">
        <w:t>che produrrà un</w:t>
      </w:r>
      <w:r w:rsidR="009A3087">
        <w:t xml:space="preserve"> graduale aumento dei tassi d’interesse di riferim</w:t>
      </w:r>
      <w:r w:rsidR="006C265E">
        <w:t>ento del mercato interbancario;</w:t>
      </w:r>
    </w:p>
    <w:p w:rsidR="006C265E" w:rsidRDefault="009A3087" w:rsidP="006701C6">
      <w:pPr>
        <w:spacing w:line="320" w:lineRule="exact"/>
        <w:ind w:left="360"/>
      </w:pPr>
      <w:r>
        <w:t>2) Le odierne dimension</w:t>
      </w:r>
      <w:r w:rsidR="00426B08">
        <w:t>i</w:t>
      </w:r>
      <w:r>
        <w:t xml:space="preserve"> dello stock di debito a livello globa</w:t>
      </w:r>
      <w:r w:rsidR="00B40326">
        <w:t>le</w:t>
      </w:r>
      <w:r w:rsidR="00F542AE">
        <w:t>,</w:t>
      </w:r>
      <w:r>
        <w:t xml:space="preserve"> e</w:t>
      </w:r>
      <w:r w:rsidR="00F542AE">
        <w:t xml:space="preserve">d </w:t>
      </w:r>
      <w:r>
        <w:t>in particolare l</w:t>
      </w:r>
      <w:r w:rsidR="00B40326">
        <w:t>e condizion</w:t>
      </w:r>
      <w:r w:rsidR="00C64658">
        <w:t>i</w:t>
      </w:r>
      <w:r w:rsidR="00B40326">
        <w:t xml:space="preserve"> debitore</w:t>
      </w:r>
      <w:r>
        <w:t xml:space="preserve"> di alcune economie emergenti </w:t>
      </w:r>
      <w:r w:rsidR="00B40326">
        <w:t>la cui solvibilità risulta sensibile a variazione dei tassi di cambio e d’interesse</w:t>
      </w:r>
      <w:r>
        <w:t>, hanno indotto i mercati a fissare premi per</w:t>
      </w:r>
      <w:r w:rsidR="00B40326">
        <w:t xml:space="preserve"> rischio superiori e </w:t>
      </w:r>
      <w:r w:rsidR="00A2579D">
        <w:t>attualmente</w:t>
      </w:r>
      <w:r w:rsidR="006C265E">
        <w:t xml:space="preserve"> in salita</w:t>
      </w:r>
      <w:r w:rsidR="00ED4146">
        <w:t xml:space="preserve">, </w:t>
      </w:r>
      <w:r w:rsidR="00AE562E">
        <w:t xml:space="preserve">che nel caso dell’Italia si sono tradotti con livelli dello spread vicini ai 300 </w:t>
      </w:r>
      <w:proofErr w:type="spellStart"/>
      <w:r w:rsidR="00AE562E">
        <w:t>pb</w:t>
      </w:r>
      <w:proofErr w:type="spellEnd"/>
      <w:r w:rsidR="00AE562E">
        <w:t>.</w:t>
      </w:r>
    </w:p>
    <w:p w:rsidR="009B4726" w:rsidRDefault="009A3087" w:rsidP="006701C6">
      <w:pPr>
        <w:spacing w:line="320" w:lineRule="exact"/>
        <w:ind w:left="360"/>
      </w:pPr>
      <w:r>
        <w:t xml:space="preserve">3) le preoccupazioni dei mercati riguardo la sostenibilità del nostro debito sovrano </w:t>
      </w:r>
      <w:proofErr w:type="spellStart"/>
      <w:r>
        <w:t>ha</w:t>
      </w:r>
      <w:r w:rsidR="009A12E1">
        <w:t>no</w:t>
      </w:r>
      <w:proofErr w:type="spellEnd"/>
      <w:r>
        <w:t xml:space="preserve"> spinto verso l’alto i tassi d’interesse d</w:t>
      </w:r>
      <w:r w:rsidR="009A12E1">
        <w:t>i tutte le tipologie di</w:t>
      </w:r>
      <w:r>
        <w:t xml:space="preserve"> titoli di stato italiani, arrivando addirittura a </w:t>
      </w:r>
      <w:r w:rsidR="00B40326">
        <w:t xml:space="preserve">più che </w:t>
      </w:r>
      <w:r>
        <w:t>raddoppiare, nel corso degli ultimi 6 mesi, i rendimenti di quelli a breve termine (vedi tabella sotto)</w:t>
      </w:r>
    </w:p>
    <w:p w:rsidR="00C77990" w:rsidRDefault="00C77990" w:rsidP="00426B08">
      <w:pPr>
        <w:pStyle w:val="Didascalia"/>
        <w:keepNext/>
        <w:jc w:val="center"/>
      </w:pPr>
      <w:r>
        <w:t xml:space="preserve">Tabella </w:t>
      </w:r>
      <w:r w:rsidR="00E6409A">
        <w:rPr>
          <w:noProof/>
        </w:rPr>
        <w:fldChar w:fldCharType="begin"/>
      </w:r>
      <w:r w:rsidR="00E6409A">
        <w:rPr>
          <w:noProof/>
        </w:rPr>
        <w:instrText xml:space="preserve"> SEQ Tabella \* ARABIC </w:instrText>
      </w:r>
      <w:r w:rsidR="00E6409A">
        <w:rPr>
          <w:noProof/>
        </w:rPr>
        <w:fldChar w:fldCharType="separate"/>
      </w:r>
      <w:r w:rsidR="002866C0">
        <w:rPr>
          <w:noProof/>
        </w:rPr>
        <w:t>3</w:t>
      </w:r>
      <w:r w:rsidR="00E6409A">
        <w:rPr>
          <w:noProof/>
        </w:rPr>
        <w:fldChar w:fldCharType="end"/>
      </w:r>
      <w:r>
        <w:t xml:space="preserve">: </w:t>
      </w:r>
      <w:r w:rsidR="00426B08">
        <w:t xml:space="preserve">Andamento dei </w:t>
      </w:r>
      <w:r>
        <w:t>tassi di rendimento dei titoli di stato italiani</w:t>
      </w:r>
      <w:r w:rsidR="00426B08">
        <w:t xml:space="preserve"> – Fonte: Investing.com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2"/>
        <w:gridCol w:w="1202"/>
      </w:tblGrid>
      <w:tr w:rsidR="00B40326" w:rsidRPr="00B40326" w:rsidTr="009A053B">
        <w:trPr>
          <w:trHeight w:val="290"/>
          <w:jc w:val="center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06/04/2018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05/10/2018</w:t>
            </w:r>
          </w:p>
        </w:tc>
      </w:tr>
      <w:tr w:rsidR="00B40326" w:rsidRPr="00B40326" w:rsidTr="009A053B">
        <w:trPr>
          <w:trHeight w:val="290"/>
          <w:jc w:val="center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Scadenza a 30 anni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2,854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3,878</w:t>
            </w:r>
          </w:p>
        </w:tc>
      </w:tr>
      <w:tr w:rsidR="00B40326" w:rsidRPr="00B40326" w:rsidTr="009A053B">
        <w:trPr>
          <w:trHeight w:val="290"/>
          <w:jc w:val="center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Scadenza a 10 anni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1,796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3,406</w:t>
            </w:r>
          </w:p>
        </w:tc>
      </w:tr>
      <w:tr w:rsidR="00B40326" w:rsidRPr="00B40326" w:rsidTr="009A053B">
        <w:trPr>
          <w:trHeight w:val="290"/>
          <w:jc w:val="center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Scadenza a 5 anni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0,665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2,525</w:t>
            </w:r>
          </w:p>
        </w:tc>
      </w:tr>
      <w:tr w:rsidR="00B40326" w:rsidRPr="00B40326" w:rsidTr="009A053B">
        <w:trPr>
          <w:trHeight w:val="290"/>
          <w:jc w:val="center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Scadenza a 2 anni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FF0000"/>
                <w:lang w:eastAsia="it-IT"/>
              </w:rPr>
              <w:t>-0,034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6" w:rsidRPr="00B40326" w:rsidRDefault="00B40326" w:rsidP="006701C6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326">
              <w:rPr>
                <w:rFonts w:ascii="Calibri" w:eastAsia="Times New Roman" w:hAnsi="Calibri" w:cs="Calibri"/>
                <w:color w:val="000000"/>
                <w:lang w:eastAsia="it-IT"/>
              </w:rPr>
              <w:t>1,349</w:t>
            </w:r>
          </w:p>
        </w:tc>
      </w:tr>
    </w:tbl>
    <w:p w:rsidR="009B4726" w:rsidRDefault="00B40326" w:rsidP="00823D57">
      <w:pPr>
        <w:spacing w:before="240" w:line="320" w:lineRule="exact"/>
      </w:pPr>
      <w:r>
        <w:t xml:space="preserve">Tutte queste considerazioni ci portano a concludere che le previsioni del </w:t>
      </w:r>
      <w:r w:rsidR="009A12E1">
        <w:t>G</w:t>
      </w:r>
      <w:r>
        <w:t xml:space="preserve">overno circa l’impatto dall’aumento dello spread sul costo del debito </w:t>
      </w:r>
      <w:r w:rsidR="006C265E">
        <w:t>sono</w:t>
      </w:r>
      <w:r>
        <w:t xml:space="preserve"> </w:t>
      </w:r>
      <w:r w:rsidR="006C265E">
        <w:t>eccessivamente</w:t>
      </w:r>
      <w:r>
        <w:t xml:space="preserve"> ottimistiche, mentre invece una visione più prudente dell’attuale stato dell’arte dei mercati suggerirebbe un andamento della spesa per inter</w:t>
      </w:r>
      <w:r w:rsidR="007F7766">
        <w:t>e</w:t>
      </w:r>
      <w:r>
        <w:t>ssi in rapporto al Pil più accentuato rispetto a quello riportato dalla Nota</w:t>
      </w:r>
      <w:r w:rsidR="006C265E">
        <w:t>,</w:t>
      </w:r>
      <w:r>
        <w:t xml:space="preserve"> e comunque prossimo a</w:t>
      </w:r>
      <w:r w:rsidR="009A12E1">
        <w:t>l</w:t>
      </w:r>
      <w:r>
        <w:t xml:space="preserve"> 4%. Una revisione più attenta alle attuali condizioni dei mercati </w:t>
      </w:r>
      <w:r w:rsidR="00A2579D">
        <w:t>e all’odierna esigenza di finanz</w:t>
      </w:r>
      <w:r w:rsidR="006C265E">
        <w:t>iamento del debito in scadenza</w:t>
      </w:r>
      <w:r w:rsidR="009A12E1">
        <w:t>,</w:t>
      </w:r>
      <w:r w:rsidR="006C265E">
        <w:t xml:space="preserve"> porta</w:t>
      </w:r>
      <w:r>
        <w:t xml:space="preserve"> </w:t>
      </w:r>
      <w:r w:rsidR="006C265E">
        <w:t xml:space="preserve">quindi </w:t>
      </w:r>
      <w:r>
        <w:t>a</w:t>
      </w:r>
      <w:r w:rsidR="006C265E">
        <w:t xml:space="preserve"> considerare u</w:t>
      </w:r>
      <w:r>
        <w:t xml:space="preserve">na </w:t>
      </w:r>
      <w:r w:rsidR="009A12E1">
        <w:t xml:space="preserve">diversa </w:t>
      </w:r>
      <w:r>
        <w:t xml:space="preserve">sequenza di </w:t>
      </w:r>
      <w:r w:rsidR="009A12E1">
        <w:t>livelli di</w:t>
      </w:r>
      <w:r w:rsidR="00A2579D">
        <w:t xml:space="preserve"> spesa per in</w:t>
      </w:r>
      <w:r w:rsidR="009A12E1">
        <w:t>teressi</w:t>
      </w:r>
      <w:r w:rsidR="00A2579D">
        <w:t xml:space="preserve"> </w:t>
      </w:r>
      <w:r w:rsidR="009A12E1">
        <w:t>in rapporto</w:t>
      </w:r>
      <w:r w:rsidR="00A2579D">
        <w:t xml:space="preserve"> </w:t>
      </w:r>
      <w:r w:rsidR="009A12E1">
        <w:t xml:space="preserve">al </w:t>
      </w:r>
      <w:r w:rsidR="00A2579D">
        <w:t xml:space="preserve">PIL pari a 3,9 e 4,1% </w:t>
      </w:r>
      <w:r w:rsidR="009A12E1">
        <w:t xml:space="preserve">per gli anni 2019 e 2020, </w:t>
      </w:r>
      <w:r w:rsidR="00A2579D">
        <w:t>al posto deg</w:t>
      </w:r>
      <w:r w:rsidR="001B3A53">
        <w:t>li attuali 3,7 e 3,8</w:t>
      </w:r>
      <w:r w:rsidR="00A2579D">
        <w:t>%.</w:t>
      </w:r>
    </w:p>
    <w:p w:rsidR="00A2579D" w:rsidRPr="009B4726" w:rsidRDefault="00A2579D" w:rsidP="00C64658">
      <w:pPr>
        <w:pStyle w:val="Titolo2"/>
        <w:spacing w:before="240" w:after="240"/>
      </w:pPr>
      <w:r>
        <w:t xml:space="preserve">Aggiustamento del rapporto Deficit-Pil </w:t>
      </w:r>
      <w:r w:rsidR="00EB60F9">
        <w:t xml:space="preserve">e Debito-Pil </w:t>
      </w:r>
      <w:r w:rsidR="00822397">
        <w:t xml:space="preserve">programmatico </w:t>
      </w:r>
      <w:r>
        <w:t>rispetto a quanto riportato in Nota</w:t>
      </w:r>
    </w:p>
    <w:p w:rsidR="007F7766" w:rsidRDefault="00DD75DD" w:rsidP="009A12E1">
      <w:pPr>
        <w:spacing w:line="320" w:lineRule="exact"/>
      </w:pPr>
      <w:r w:rsidRPr="00DD75DD">
        <w:t>Per il 2019</w:t>
      </w:r>
      <w:r>
        <w:t xml:space="preserve">, la Nota prevede </w:t>
      </w:r>
      <w:r w:rsidRPr="00DD75DD">
        <w:t xml:space="preserve">una crescita </w:t>
      </w:r>
      <w:r>
        <w:t xml:space="preserve">nominale attesa </w:t>
      </w:r>
      <w:r w:rsidRPr="00DD75DD">
        <w:t>del P</w:t>
      </w:r>
      <w:r>
        <w:t>IL</w:t>
      </w:r>
      <w:r w:rsidRPr="00DD75DD">
        <w:t xml:space="preserve"> dell'</w:t>
      </w:r>
      <w:r>
        <w:t>3,1</w:t>
      </w:r>
      <w:r w:rsidRPr="00DD75DD">
        <w:t xml:space="preserve">% </w:t>
      </w:r>
      <w:r>
        <w:t>ed un</w:t>
      </w:r>
      <w:r w:rsidRPr="00DD75DD">
        <w:t xml:space="preserve"> rapporto deficit</w:t>
      </w:r>
      <w:r>
        <w:t>-PIL</w:t>
      </w:r>
      <w:r w:rsidRPr="00DD75DD">
        <w:t xml:space="preserve"> al 2,4%. </w:t>
      </w:r>
      <w:r>
        <w:t>Per il</w:t>
      </w:r>
      <w:r w:rsidRPr="00DD75DD">
        <w:t xml:space="preserve"> 2020</w:t>
      </w:r>
      <w:r>
        <w:t>, la crescita nominale stimata cresce al 3,5</w:t>
      </w:r>
      <w:r w:rsidRPr="00DD75DD">
        <w:t xml:space="preserve">% </w:t>
      </w:r>
      <w:r>
        <w:t xml:space="preserve">a fronte di un rapporto </w:t>
      </w:r>
      <w:r w:rsidRPr="00DD75DD">
        <w:t>deficit</w:t>
      </w:r>
      <w:r>
        <w:t>-PIL</w:t>
      </w:r>
      <w:r w:rsidRPr="00DD75DD">
        <w:t xml:space="preserve"> </w:t>
      </w:r>
      <w:r>
        <w:t xml:space="preserve">che scende </w:t>
      </w:r>
      <w:r>
        <w:lastRenderedPageBreak/>
        <w:t>al</w:t>
      </w:r>
      <w:r w:rsidRPr="00DD75DD">
        <w:t xml:space="preserve"> 2,1%</w:t>
      </w:r>
      <w:r>
        <w:t xml:space="preserve">. Pur lasciando invariata la dinamica dei deflatori, la revisione della crescita dei volumi sviluppata nel precedente paragrafo incide in maniera sostanziale sui livelli del </w:t>
      </w:r>
      <w:r w:rsidRPr="00DD75DD">
        <w:t>rapporto deficit</w:t>
      </w:r>
      <w:r>
        <w:t xml:space="preserve">-PIL (cfr. sotto </w:t>
      </w:r>
      <w:proofErr w:type="spellStart"/>
      <w:r>
        <w:t>tab</w:t>
      </w:r>
      <w:proofErr w:type="spellEnd"/>
      <w:r>
        <w:t>. 4)</w:t>
      </w:r>
    </w:p>
    <w:p w:rsidR="007F7766" w:rsidRDefault="007F7766" w:rsidP="007F7766">
      <w:pPr>
        <w:pStyle w:val="Didascalia"/>
        <w:keepNext/>
      </w:pPr>
      <w:r>
        <w:t xml:space="preserve">Tabella </w:t>
      </w:r>
      <w:r w:rsidR="00E6409A">
        <w:rPr>
          <w:noProof/>
        </w:rPr>
        <w:fldChar w:fldCharType="begin"/>
      </w:r>
      <w:r w:rsidR="00E6409A">
        <w:rPr>
          <w:noProof/>
        </w:rPr>
        <w:instrText xml:space="preserve"> SEQ Tabella \* ARABIC </w:instrText>
      </w:r>
      <w:r w:rsidR="00E6409A">
        <w:rPr>
          <w:noProof/>
        </w:rPr>
        <w:fldChar w:fldCharType="separate"/>
      </w:r>
      <w:r w:rsidR="002866C0">
        <w:rPr>
          <w:noProof/>
        </w:rPr>
        <w:t>4</w:t>
      </w:r>
      <w:r w:rsidR="00E6409A">
        <w:rPr>
          <w:noProof/>
        </w:rPr>
        <w:fldChar w:fldCharType="end"/>
      </w:r>
      <w:r>
        <w:t xml:space="preserve">: </w:t>
      </w:r>
      <w:r w:rsidR="00C64658">
        <w:t>Andamento dei</w:t>
      </w:r>
      <w:r>
        <w:t xml:space="preserve"> principali rapporti macroeconomici di finanza pubblica </w:t>
      </w:r>
      <w:r w:rsidR="00C64658">
        <w:t>corretti per la minor crescita e il maggior costo per il servizio del debito</w:t>
      </w:r>
      <w:r>
        <w:t>– Fonte: elaborazioni Nens su dati governativi</w:t>
      </w:r>
    </w:p>
    <w:tbl>
      <w:tblPr>
        <w:tblW w:w="6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560"/>
        <w:gridCol w:w="960"/>
        <w:gridCol w:w="960"/>
      </w:tblGrid>
      <w:tr w:rsidR="00EC3123" w:rsidRPr="00EC3123" w:rsidTr="00C253AC">
        <w:trPr>
          <w:trHeight w:val="290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</w:tr>
      <w:tr w:rsidR="00EC3123" w:rsidRPr="00EC3123" w:rsidTr="00E628A9">
        <w:trPr>
          <w:trHeight w:val="290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(Nens)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FF0000"/>
                <w:lang w:eastAsia="it-IT"/>
              </w:rPr>
              <w:t xml:space="preserve">-2,6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FF0000"/>
                <w:lang w:eastAsia="it-IT"/>
              </w:rPr>
              <w:t xml:space="preserve">-2,4 </w:t>
            </w:r>
          </w:p>
        </w:tc>
      </w:tr>
      <w:tr w:rsidR="00EC3123" w:rsidRPr="00EC3123" w:rsidTr="00E628A9">
        <w:trPr>
          <w:trHeight w:val="290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C253AC" w:rsidRDefault="00C253AC" w:rsidP="00C253AC">
            <w:pPr>
              <w:spacing w:after="0" w:line="320" w:lineRule="exac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253A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INDEBITAMENTO NETTO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(Nota </w:t>
            </w:r>
            <w:proofErr w:type="spellStart"/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agg</w:t>
            </w:r>
            <w:proofErr w:type="spellEnd"/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DEF)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FF0000"/>
                <w:lang w:eastAsia="it-IT"/>
              </w:rPr>
              <w:t xml:space="preserve">-2,4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FF0000"/>
                <w:lang w:eastAsia="it-IT"/>
              </w:rPr>
              <w:t xml:space="preserve">-2,1 </w:t>
            </w:r>
          </w:p>
        </w:tc>
      </w:tr>
      <w:tr w:rsidR="00EC3123" w:rsidRPr="00EC3123" w:rsidTr="00E628A9">
        <w:trPr>
          <w:trHeight w:val="290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C253AC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(DEF 2018)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FF0000"/>
                <w:lang w:eastAsia="it-IT"/>
              </w:rPr>
              <w:t xml:space="preserve">-0,8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0,0 </w:t>
            </w:r>
          </w:p>
        </w:tc>
      </w:tr>
      <w:tr w:rsidR="00EC3123" w:rsidRPr="00EC3123" w:rsidTr="00E628A9">
        <w:trPr>
          <w:trHeight w:val="290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C253AC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(Nens)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4,1</w:t>
            </w:r>
          </w:p>
        </w:tc>
      </w:tr>
      <w:tr w:rsidR="00EC3123" w:rsidRPr="00EC3123" w:rsidTr="00E628A9">
        <w:trPr>
          <w:trHeight w:val="290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C253AC" w:rsidRDefault="00C253AC" w:rsidP="00C253AC">
            <w:pPr>
              <w:spacing w:after="0" w:line="320" w:lineRule="exac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253A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INTERESSI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(Nota </w:t>
            </w:r>
            <w:proofErr w:type="spellStart"/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agg</w:t>
            </w:r>
            <w:proofErr w:type="spellEnd"/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DEF)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3,7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3,8 </w:t>
            </w:r>
          </w:p>
        </w:tc>
      </w:tr>
      <w:tr w:rsidR="00EC3123" w:rsidRPr="00EC3123" w:rsidTr="00E628A9">
        <w:trPr>
          <w:trHeight w:val="290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C253AC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(DEF 2018)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3,5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3,5 </w:t>
            </w:r>
          </w:p>
        </w:tc>
      </w:tr>
      <w:tr w:rsidR="00EC3123" w:rsidRPr="00EC3123" w:rsidTr="00E628A9">
        <w:trPr>
          <w:trHeight w:val="290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C253AC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(Nens)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1,3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1,7 </w:t>
            </w:r>
          </w:p>
        </w:tc>
      </w:tr>
      <w:tr w:rsidR="00EC3123" w:rsidRPr="00EC3123" w:rsidTr="00E628A9">
        <w:trPr>
          <w:trHeight w:val="290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C253AC" w:rsidRDefault="00C253AC" w:rsidP="00C253AC">
            <w:pPr>
              <w:spacing w:after="0" w:line="320" w:lineRule="exac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253A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SALDO PRIMARIO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(Nota </w:t>
            </w:r>
            <w:proofErr w:type="spellStart"/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agg</w:t>
            </w:r>
            <w:proofErr w:type="spellEnd"/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DEF)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1,3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1,7 </w:t>
            </w:r>
          </w:p>
        </w:tc>
      </w:tr>
      <w:tr w:rsidR="00EC3123" w:rsidRPr="00EC3123" w:rsidTr="00E628A9">
        <w:trPr>
          <w:trHeight w:val="290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(DEF 2018)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2,7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3,4 </w:t>
            </w:r>
          </w:p>
        </w:tc>
      </w:tr>
      <w:tr w:rsidR="00EC3123" w:rsidRPr="00EC3123" w:rsidTr="00E628A9">
        <w:trPr>
          <w:trHeight w:val="290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PIL nominale programmatico corretto (</w:t>
            </w:r>
            <w:proofErr w:type="spellStart"/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mrd</w:t>
            </w:r>
            <w:proofErr w:type="spellEnd"/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€)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1817,1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23" w:rsidRPr="00EC3123" w:rsidRDefault="00EC3123" w:rsidP="006701C6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C3123">
              <w:rPr>
                <w:rFonts w:ascii="Calibri" w:eastAsia="Times New Roman" w:hAnsi="Calibri" w:cs="Calibri"/>
                <w:color w:val="000000"/>
                <w:lang w:eastAsia="it-IT"/>
              </w:rPr>
              <w:t>1880,7</w:t>
            </w:r>
          </w:p>
        </w:tc>
      </w:tr>
    </w:tbl>
    <w:p w:rsidR="001C5B60" w:rsidRDefault="001B73E5" w:rsidP="009A12E1">
      <w:pPr>
        <w:spacing w:before="240" w:line="320" w:lineRule="exact"/>
      </w:pPr>
      <w:r>
        <w:t>Nel complesso, l</w:t>
      </w:r>
      <w:r w:rsidR="00DD75DD">
        <w:t xml:space="preserve">’andamento del </w:t>
      </w:r>
      <w:r>
        <w:t xml:space="preserve">nuovo </w:t>
      </w:r>
      <w:r w:rsidR="00DD75DD">
        <w:t xml:space="preserve">rapporto Deficit-PIL corretto </w:t>
      </w:r>
      <w:r>
        <w:t>per la minore crescita</w:t>
      </w:r>
      <w:r w:rsidR="00EB60F9">
        <w:t xml:space="preserve"> reale</w:t>
      </w:r>
      <w:r>
        <w:t xml:space="preserve"> e </w:t>
      </w:r>
      <w:r w:rsidR="00EB60F9">
        <w:t>il</w:t>
      </w:r>
      <w:r>
        <w:t xml:space="preserve"> maggior servizio del debito</w:t>
      </w:r>
      <w:r w:rsidR="00EB60F9">
        <w:t xml:space="preserve"> </w:t>
      </w:r>
      <w:r w:rsidR="00DD75DD">
        <w:t>mant</w:t>
      </w:r>
      <w:r w:rsidR="00EB60F9">
        <w:t>iene</w:t>
      </w:r>
      <w:r w:rsidR="00DD75DD">
        <w:t xml:space="preserve"> </w:t>
      </w:r>
      <w:r w:rsidR="009A12E1">
        <w:t>l’originale</w:t>
      </w:r>
      <w:r w:rsidR="00DD75DD">
        <w:t xml:space="preserve"> profilo </w:t>
      </w:r>
      <w:r w:rsidR="00EB60F9">
        <w:t xml:space="preserve">temporale </w:t>
      </w:r>
      <w:r w:rsidR="00DD75DD">
        <w:t>decrescente,</w:t>
      </w:r>
      <w:r w:rsidR="00EB60F9">
        <w:t xml:space="preserve"> ma</w:t>
      </w:r>
      <w:r w:rsidR="00DD75DD">
        <w:t xml:space="preserve"> </w:t>
      </w:r>
      <w:r w:rsidR="00EB60F9">
        <w:t xml:space="preserve">fa </w:t>
      </w:r>
      <w:r w:rsidR="00DD75DD">
        <w:t>registra</w:t>
      </w:r>
      <w:r w:rsidR="00EB60F9">
        <w:t>re,</w:t>
      </w:r>
      <w:r w:rsidR="00DD75DD">
        <w:t xml:space="preserve"> </w:t>
      </w:r>
      <w:r>
        <w:t>per il biennio 2019-2020</w:t>
      </w:r>
      <w:r w:rsidR="00EB60F9">
        <w:t>,</w:t>
      </w:r>
      <w:r>
        <w:t xml:space="preserve"> </w:t>
      </w:r>
      <w:r w:rsidR="00DD75DD">
        <w:t xml:space="preserve">uno spostamento verso l’alto del suo sentiero di convergenza verso il pareggio di bilancio. </w:t>
      </w:r>
      <w:r w:rsidR="001C5B60">
        <w:t>Rivisto dal punto di vista della dinamica del debito, lo spostamento verso l’alto dei livelli dell’indebitamento netto in rapporto al Pil hanno ricadute sostanziali sull’andamento del rapporto debito-PIL dell’Italia, il quale</w:t>
      </w:r>
      <w:r w:rsidR="009A12E1">
        <w:t>, messo a confronto con quanto riportato nella Nota,</w:t>
      </w:r>
      <w:r w:rsidR="001C5B60">
        <w:t xml:space="preserve"> registra un evidente rallentamento del ritmo di abbattimento del debito (cfr. sotto </w:t>
      </w:r>
      <w:proofErr w:type="spellStart"/>
      <w:r w:rsidR="001C5B60">
        <w:t>Tab</w:t>
      </w:r>
      <w:proofErr w:type="spellEnd"/>
      <w:r w:rsidR="001C5B60">
        <w:t>. 5)</w:t>
      </w:r>
    </w:p>
    <w:p w:rsidR="00C64658" w:rsidRDefault="00C64658" w:rsidP="00C64658">
      <w:pPr>
        <w:pStyle w:val="Didascalia"/>
        <w:keepNext/>
      </w:pPr>
      <w:r>
        <w:t xml:space="preserve">Tabella </w:t>
      </w:r>
      <w:r w:rsidR="00E6409A">
        <w:rPr>
          <w:noProof/>
        </w:rPr>
        <w:fldChar w:fldCharType="begin"/>
      </w:r>
      <w:r w:rsidR="00E6409A">
        <w:rPr>
          <w:noProof/>
        </w:rPr>
        <w:instrText xml:space="preserve"> SEQ Tabella \* ARABIC </w:instrText>
      </w:r>
      <w:r w:rsidR="00E6409A">
        <w:rPr>
          <w:noProof/>
        </w:rPr>
        <w:fldChar w:fldCharType="separate"/>
      </w:r>
      <w:r w:rsidR="002866C0">
        <w:rPr>
          <w:noProof/>
        </w:rPr>
        <w:t>5</w:t>
      </w:r>
      <w:r w:rsidR="00E6409A">
        <w:rPr>
          <w:noProof/>
        </w:rPr>
        <w:fldChar w:fldCharType="end"/>
      </w:r>
      <w:r>
        <w:t>: Andamento del rapporto debito-PIL corretto per la minor crescita e il maggior costo per il servizio del debito– Fonte: elaborazioni Nens su dati governativi</w:t>
      </w:r>
    </w:p>
    <w:tbl>
      <w:tblPr>
        <w:tblW w:w="6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560"/>
        <w:gridCol w:w="960"/>
        <w:gridCol w:w="960"/>
      </w:tblGrid>
      <w:tr w:rsidR="001C5B60" w:rsidRPr="0067090A" w:rsidTr="00EB7E52">
        <w:trPr>
          <w:trHeight w:val="290"/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09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090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</w:tr>
      <w:tr w:rsidR="001C5B60" w:rsidRPr="0067090A" w:rsidTr="00EB7E52">
        <w:trPr>
          <w:trHeight w:val="290"/>
          <w:jc w:val="center"/>
        </w:trPr>
        <w:tc>
          <w:tcPr>
            <w:tcW w:w="3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090A">
              <w:rPr>
                <w:rFonts w:ascii="Calibri" w:eastAsia="Times New Roman" w:hAnsi="Calibri" w:cs="Calibri"/>
                <w:color w:val="000000"/>
                <w:lang w:eastAsia="it-IT"/>
              </w:rPr>
              <w:t>RAPPORTO DEBITO-PIL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090A">
              <w:rPr>
                <w:rFonts w:ascii="Calibri" w:eastAsia="Times New Roman" w:hAnsi="Calibri" w:cs="Calibri"/>
                <w:color w:val="000000"/>
                <w:lang w:eastAsia="it-IT"/>
              </w:rPr>
              <w:t>(Nens)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090A">
              <w:rPr>
                <w:rFonts w:ascii="Calibri" w:eastAsia="Times New Roman" w:hAnsi="Calibri" w:cs="Calibri"/>
                <w:color w:val="000000"/>
                <w:lang w:eastAsia="it-IT"/>
              </w:rPr>
              <w:t>130,6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090A">
              <w:rPr>
                <w:rFonts w:ascii="Calibri" w:eastAsia="Times New Roman" w:hAnsi="Calibri" w:cs="Calibri"/>
                <w:color w:val="000000"/>
                <w:lang w:eastAsia="it-IT"/>
              </w:rPr>
              <w:t>128,8</w:t>
            </w:r>
          </w:p>
        </w:tc>
      </w:tr>
      <w:tr w:rsidR="001C5B60" w:rsidRPr="0067090A" w:rsidTr="00EB7E52">
        <w:trPr>
          <w:trHeight w:val="290"/>
          <w:jc w:val="center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090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(Nota </w:t>
            </w:r>
            <w:proofErr w:type="spellStart"/>
            <w:r w:rsidRPr="0067090A">
              <w:rPr>
                <w:rFonts w:ascii="Calibri" w:eastAsia="Times New Roman" w:hAnsi="Calibri" w:cs="Calibri"/>
                <w:color w:val="000000"/>
                <w:lang w:eastAsia="it-IT"/>
              </w:rPr>
              <w:t>agg</w:t>
            </w:r>
            <w:proofErr w:type="spellEnd"/>
            <w:r w:rsidRPr="0067090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DEF)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090A">
              <w:rPr>
                <w:rFonts w:ascii="Calibri" w:eastAsia="Times New Roman" w:hAnsi="Calibri" w:cs="Calibri"/>
                <w:color w:val="000000"/>
                <w:lang w:eastAsia="it-IT"/>
              </w:rPr>
              <w:t>130,0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5B60" w:rsidRPr="0067090A" w:rsidRDefault="001C5B60" w:rsidP="00EB7E52">
            <w:pPr>
              <w:spacing w:after="0" w:line="320" w:lineRule="exact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090A">
              <w:rPr>
                <w:rFonts w:ascii="Calibri" w:eastAsia="Times New Roman" w:hAnsi="Calibri" w:cs="Calibri"/>
                <w:color w:val="000000"/>
                <w:lang w:eastAsia="it-IT"/>
              </w:rPr>
              <w:t>128,1</w:t>
            </w:r>
          </w:p>
        </w:tc>
      </w:tr>
    </w:tbl>
    <w:p w:rsidR="00EC3123" w:rsidRPr="001C5B60" w:rsidRDefault="001C5B60" w:rsidP="009A12E1">
      <w:pPr>
        <w:spacing w:before="240" w:line="320" w:lineRule="exact"/>
      </w:pPr>
      <w:r>
        <w:t>Tutto c</w:t>
      </w:r>
      <w:r w:rsidR="00EB60F9">
        <w:t>iò, se da un lato conferma la non violazione della soglia del 3% del Pil previsto dai trattati, consentendo al Governo di c</w:t>
      </w:r>
      <w:r w:rsidR="00EB60F9" w:rsidRPr="00EB60F9">
        <w:t>onferma</w:t>
      </w:r>
      <w:r w:rsidR="009A12E1">
        <w:t>re</w:t>
      </w:r>
      <w:r w:rsidR="00EB60F9" w:rsidRPr="00EB60F9">
        <w:t xml:space="preserve"> tutti gli impegni più “popolari” presi in campagna elettorale</w:t>
      </w:r>
      <w:r w:rsidR="00EB60F9">
        <w:t>, dall’altro ribadisce in maniera ineluttabile la fragilità del percorso di risanamento delineato dalla Nota</w:t>
      </w:r>
      <w:r>
        <w:t xml:space="preserve"> e pone seriamente in dubbio l’eventualità che la Commissione Europea possa far </w:t>
      </w:r>
      <w:r w:rsidRPr="001C5B60">
        <w:rPr>
          <w:i/>
        </w:rPr>
        <w:t>dietro</w:t>
      </w:r>
      <w:r>
        <w:rPr>
          <w:i/>
        </w:rPr>
        <w:t>-</w:t>
      </w:r>
      <w:r w:rsidRPr="001C5B60">
        <w:rPr>
          <w:i/>
        </w:rPr>
        <w:t>front</w:t>
      </w:r>
      <w:r>
        <w:t xml:space="preserve"> </w:t>
      </w:r>
      <w:r w:rsidR="009A12E1">
        <w:t>in merito alla</w:t>
      </w:r>
      <w:r>
        <w:t xml:space="preserve"> </w:t>
      </w:r>
      <w:proofErr w:type="spellStart"/>
      <w:r>
        <w:t>pre</w:t>
      </w:r>
      <w:proofErr w:type="spellEnd"/>
      <w:r>
        <w:t>-bocciatura della manovra che Bruxelles si è affrettata a recapitare al Ministro Tria nel corso di questo weekend.</w:t>
      </w:r>
      <w:r w:rsidR="009A12E1">
        <w:t xml:space="preserve"> </w:t>
      </w:r>
    </w:p>
    <w:sectPr w:rsidR="00EC3123" w:rsidRPr="001C5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Heavy">
    <w:altName w:val="Franklin Gothic Heavy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B7EE9"/>
    <w:multiLevelType w:val="hybridMultilevel"/>
    <w:tmpl w:val="8924C1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61FDD"/>
    <w:multiLevelType w:val="hybridMultilevel"/>
    <w:tmpl w:val="5492DB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60BDE"/>
    <w:multiLevelType w:val="hybridMultilevel"/>
    <w:tmpl w:val="FDC63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41541"/>
    <w:multiLevelType w:val="hybridMultilevel"/>
    <w:tmpl w:val="4008E73E"/>
    <w:lvl w:ilvl="0" w:tplc="625E39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5702A"/>
    <w:multiLevelType w:val="hybridMultilevel"/>
    <w:tmpl w:val="0DD27F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B9"/>
    <w:rsid w:val="00004A36"/>
    <w:rsid w:val="00050A19"/>
    <w:rsid w:val="000C086F"/>
    <w:rsid w:val="000C295D"/>
    <w:rsid w:val="00114E6D"/>
    <w:rsid w:val="001305B6"/>
    <w:rsid w:val="00177C95"/>
    <w:rsid w:val="001B3A53"/>
    <w:rsid w:val="001B73E5"/>
    <w:rsid w:val="001C5B60"/>
    <w:rsid w:val="002866C0"/>
    <w:rsid w:val="002C2EB9"/>
    <w:rsid w:val="002F2B00"/>
    <w:rsid w:val="003169BE"/>
    <w:rsid w:val="003511AD"/>
    <w:rsid w:val="00362FAE"/>
    <w:rsid w:val="00366256"/>
    <w:rsid w:val="00384454"/>
    <w:rsid w:val="00393D19"/>
    <w:rsid w:val="00417085"/>
    <w:rsid w:val="00426B08"/>
    <w:rsid w:val="00460A47"/>
    <w:rsid w:val="00524DB8"/>
    <w:rsid w:val="005742ED"/>
    <w:rsid w:val="005917A4"/>
    <w:rsid w:val="005B101E"/>
    <w:rsid w:val="00605A1F"/>
    <w:rsid w:val="00646C28"/>
    <w:rsid w:val="006701C6"/>
    <w:rsid w:val="0067090A"/>
    <w:rsid w:val="006C265E"/>
    <w:rsid w:val="00763925"/>
    <w:rsid w:val="007715DA"/>
    <w:rsid w:val="00792838"/>
    <w:rsid w:val="007F7766"/>
    <w:rsid w:val="008155AD"/>
    <w:rsid w:val="00822397"/>
    <w:rsid w:val="00823D57"/>
    <w:rsid w:val="00836D85"/>
    <w:rsid w:val="008544E6"/>
    <w:rsid w:val="0088733D"/>
    <w:rsid w:val="008A5051"/>
    <w:rsid w:val="00947ED2"/>
    <w:rsid w:val="009A053B"/>
    <w:rsid w:val="009A12E1"/>
    <w:rsid w:val="009A3087"/>
    <w:rsid w:val="009B4726"/>
    <w:rsid w:val="009C61BB"/>
    <w:rsid w:val="00A05516"/>
    <w:rsid w:val="00A2579D"/>
    <w:rsid w:val="00A83E3D"/>
    <w:rsid w:val="00AA007B"/>
    <w:rsid w:val="00AA1299"/>
    <w:rsid w:val="00AD5515"/>
    <w:rsid w:val="00AE562E"/>
    <w:rsid w:val="00B2599F"/>
    <w:rsid w:val="00B40326"/>
    <w:rsid w:val="00B576B8"/>
    <w:rsid w:val="00B936C5"/>
    <w:rsid w:val="00BE6664"/>
    <w:rsid w:val="00C253AC"/>
    <w:rsid w:val="00C64658"/>
    <w:rsid w:val="00C77990"/>
    <w:rsid w:val="00CB418D"/>
    <w:rsid w:val="00D0627A"/>
    <w:rsid w:val="00DA33E9"/>
    <w:rsid w:val="00DA43FD"/>
    <w:rsid w:val="00DC5CC7"/>
    <w:rsid w:val="00DD75DD"/>
    <w:rsid w:val="00E23033"/>
    <w:rsid w:val="00E628A9"/>
    <w:rsid w:val="00E6409A"/>
    <w:rsid w:val="00E825DE"/>
    <w:rsid w:val="00EB60F9"/>
    <w:rsid w:val="00EB7E52"/>
    <w:rsid w:val="00EC3123"/>
    <w:rsid w:val="00EC7975"/>
    <w:rsid w:val="00ED4146"/>
    <w:rsid w:val="00F35C55"/>
    <w:rsid w:val="00F542AE"/>
    <w:rsid w:val="00FE17C7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8C2EE-075A-4068-A962-EDDB4D4E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64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2EB9"/>
    <w:pPr>
      <w:autoSpaceDE w:val="0"/>
      <w:autoSpaceDN w:val="0"/>
      <w:adjustRightInd w:val="0"/>
      <w:spacing w:after="0" w:line="240" w:lineRule="auto"/>
    </w:pPr>
    <w:rPr>
      <w:rFonts w:ascii="Franklin Gothic Heavy" w:hAnsi="Franklin Gothic Heavy" w:cs="Franklin Gothic Heavy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55AD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9C61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73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646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Nicola Del Duce</cp:lastModifiedBy>
  <cp:revision>2</cp:revision>
  <cp:lastPrinted>2018-10-08T13:49:00Z</cp:lastPrinted>
  <dcterms:created xsi:type="dcterms:W3CDTF">2018-10-08T15:04:00Z</dcterms:created>
  <dcterms:modified xsi:type="dcterms:W3CDTF">2018-10-08T15:04:00Z</dcterms:modified>
</cp:coreProperties>
</file>