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D2F" w:rsidRPr="0070655A" w:rsidRDefault="00A75975" w:rsidP="00286401">
      <w:pPr>
        <w:pStyle w:val="Titolo"/>
        <w:spacing w:before="360" w:after="600"/>
        <w:jc w:val="center"/>
        <w:rPr>
          <w:b/>
          <w:sz w:val="44"/>
          <w:szCs w:val="44"/>
        </w:rPr>
      </w:pPr>
      <w:bookmarkStart w:id="0" w:name="_GoBack"/>
      <w:bookmarkEnd w:id="0"/>
      <w:r w:rsidRPr="0070655A">
        <w:rPr>
          <w:b/>
          <w:sz w:val="44"/>
          <w:szCs w:val="44"/>
        </w:rPr>
        <w:t>In che misura è possibile un aumento della crescita dell’economia italiana all’interno dei vincoli europei?</w:t>
      </w:r>
      <w:r w:rsidR="0000429B">
        <w:rPr>
          <w:rStyle w:val="Rimandonotaapidipagina"/>
          <w:b/>
          <w:sz w:val="44"/>
          <w:szCs w:val="44"/>
        </w:rPr>
        <w:footnoteReference w:id="1"/>
      </w:r>
    </w:p>
    <w:p w:rsidR="00471AC2" w:rsidRPr="0070655A" w:rsidRDefault="00A75975" w:rsidP="00BF614F">
      <w:pPr>
        <w:jc w:val="both"/>
      </w:pPr>
      <w:r w:rsidRPr="0070655A">
        <w:t xml:space="preserve">In questo documento si approfondisce un’ipotesi di politica economica </w:t>
      </w:r>
      <w:r w:rsidR="001840AC">
        <w:t>che</w:t>
      </w:r>
      <w:r w:rsidR="00471AC2" w:rsidRPr="0070655A">
        <w:t xml:space="preserve"> prevede interventi sia dal l</w:t>
      </w:r>
      <w:r w:rsidR="00C50C34">
        <w:t>a</w:t>
      </w:r>
      <w:r w:rsidR="00471AC2" w:rsidRPr="0070655A">
        <w:t xml:space="preserve">to delle entrate sia dal lato della spesa. Dal lato delle entrate, la proposta </w:t>
      </w:r>
      <w:r w:rsidR="00123756" w:rsidRPr="0070655A">
        <w:t>ipotizza</w:t>
      </w:r>
      <w:r w:rsidR="00471AC2" w:rsidRPr="0070655A">
        <w:t>:</w:t>
      </w:r>
    </w:p>
    <w:p w:rsidR="00AC596F" w:rsidRPr="0070655A" w:rsidRDefault="00471AC2" w:rsidP="00BF614F">
      <w:pPr>
        <w:pStyle w:val="Paragrafoelenco"/>
        <w:numPr>
          <w:ilvl w:val="0"/>
          <w:numId w:val="1"/>
        </w:numPr>
        <w:jc w:val="both"/>
      </w:pPr>
      <w:r w:rsidRPr="0070655A">
        <w:t xml:space="preserve">Una riforma dell’imposizione </w:t>
      </w:r>
      <w:r w:rsidR="002D5F27">
        <w:t>IRPEF</w:t>
      </w:r>
      <w:r w:rsidR="00CB1488" w:rsidRPr="0070655A">
        <w:t xml:space="preserve"> e dell’assegno di famiglia</w:t>
      </w:r>
      <w:r w:rsidR="00526738" w:rsidRPr="0070655A">
        <w:t>;</w:t>
      </w:r>
    </w:p>
    <w:p w:rsidR="00304AE1" w:rsidRPr="0070655A" w:rsidRDefault="00304AE1" w:rsidP="00BF614F">
      <w:pPr>
        <w:pStyle w:val="Paragrafoelenco"/>
        <w:numPr>
          <w:ilvl w:val="0"/>
          <w:numId w:val="1"/>
        </w:numPr>
        <w:jc w:val="both"/>
      </w:pPr>
      <w:r w:rsidRPr="0070655A">
        <w:t>Una revisione dell’imposta sul valore aggiunto (</w:t>
      </w:r>
      <w:r w:rsidR="00376648">
        <w:t>IVA</w:t>
      </w:r>
      <w:r w:rsidRPr="0070655A">
        <w:t>)</w:t>
      </w:r>
      <w:r w:rsidR="00BF49BF" w:rsidRPr="0070655A">
        <w:t xml:space="preserve"> che </w:t>
      </w:r>
      <w:r w:rsidR="000908E4" w:rsidRPr="0070655A">
        <w:t>riduca il numero delle aliquote ad un unico livello</w:t>
      </w:r>
      <w:r w:rsidRPr="0070655A">
        <w:t xml:space="preserve"> (</w:t>
      </w:r>
      <w:r w:rsidR="00A75975" w:rsidRPr="0070655A">
        <w:t>intorno al 15%</w:t>
      </w:r>
      <w:r w:rsidRPr="0070655A">
        <w:t xml:space="preserve">) o </w:t>
      </w:r>
      <w:r w:rsidR="00A75975" w:rsidRPr="0070655A">
        <w:t>su</w:t>
      </w:r>
      <w:r w:rsidRPr="0070655A">
        <w:t xml:space="preserve"> </w:t>
      </w:r>
      <w:r w:rsidR="000908E4" w:rsidRPr="0070655A">
        <w:t>due livelli</w:t>
      </w:r>
      <w:r w:rsidR="00A75975" w:rsidRPr="0070655A">
        <w:t xml:space="preserve"> (5 e 19%)</w:t>
      </w:r>
      <w:r w:rsidR="000908E4" w:rsidRPr="0070655A">
        <w:t>, in modo da</w:t>
      </w:r>
      <w:r w:rsidR="001840AC">
        <w:t xml:space="preserve"> mantenere costante il gettito e</w:t>
      </w:r>
      <w:r w:rsidRPr="0070655A">
        <w:t xml:space="preserve"> </w:t>
      </w:r>
      <w:r w:rsidR="00A75975" w:rsidRPr="0070655A">
        <w:t>aumentare di un solo punto la prima aliquota del 4%</w:t>
      </w:r>
      <w:r w:rsidRPr="0070655A">
        <w:t>;</w:t>
      </w:r>
    </w:p>
    <w:p w:rsidR="00512D23" w:rsidRPr="0070655A" w:rsidRDefault="00CB1488" w:rsidP="00BF614F">
      <w:pPr>
        <w:pStyle w:val="Paragrafoelenco"/>
        <w:numPr>
          <w:ilvl w:val="0"/>
          <w:numId w:val="1"/>
        </w:numPr>
        <w:jc w:val="both"/>
      </w:pPr>
      <w:r w:rsidRPr="0070655A">
        <w:t>Eliminazione dell’</w:t>
      </w:r>
      <w:r w:rsidR="002D5F27">
        <w:t>IRAP</w:t>
      </w:r>
      <w:r w:rsidRPr="0070655A">
        <w:t xml:space="preserve"> e dei contrib</w:t>
      </w:r>
      <w:r w:rsidR="00344D32" w:rsidRPr="0070655A">
        <w:t>uti previdenziali (oggi al 33%)</w:t>
      </w:r>
      <w:r w:rsidRPr="0070655A">
        <w:t xml:space="preserve"> e della contribuzi</w:t>
      </w:r>
      <w:r w:rsidR="00512D23" w:rsidRPr="0070655A">
        <w:t>one per gli assegni familiari;</w:t>
      </w:r>
    </w:p>
    <w:p w:rsidR="00471AC2" w:rsidRPr="0070655A" w:rsidRDefault="00512D23" w:rsidP="00BF614F">
      <w:pPr>
        <w:pStyle w:val="Paragrafoelenco"/>
        <w:numPr>
          <w:ilvl w:val="0"/>
          <w:numId w:val="1"/>
        </w:numPr>
        <w:jc w:val="both"/>
      </w:pPr>
      <w:r w:rsidRPr="0070655A">
        <w:t>I</w:t>
      </w:r>
      <w:r w:rsidR="00CB1488" w:rsidRPr="0070655A">
        <w:t>ntroduzione di un nuovo prelievo</w:t>
      </w:r>
      <w:r w:rsidR="00E82035" w:rsidRPr="0070655A">
        <w:t xml:space="preserve"> per il finanziamento del welfare, proporzionale e uniforme </w:t>
      </w:r>
      <w:r w:rsidR="00CB1488" w:rsidRPr="0070655A">
        <w:t>su</w:t>
      </w:r>
      <w:r w:rsidR="005A1D87" w:rsidRPr="0070655A">
        <w:t xml:space="preserve">ll’intero valore aggiunto della produzione </w:t>
      </w:r>
      <w:r w:rsidR="00E82035" w:rsidRPr="0070655A">
        <w:t>nazionale</w:t>
      </w:r>
      <w:r w:rsidR="00526738" w:rsidRPr="0070655A">
        <w:t>;</w:t>
      </w:r>
    </w:p>
    <w:p w:rsidR="00CB1488" w:rsidRPr="0070655A" w:rsidRDefault="00304AE1" w:rsidP="00BF614F">
      <w:pPr>
        <w:pStyle w:val="Paragrafoelenco"/>
        <w:numPr>
          <w:ilvl w:val="0"/>
          <w:numId w:val="1"/>
        </w:numPr>
        <w:jc w:val="both"/>
      </w:pPr>
      <w:r w:rsidRPr="0070655A">
        <w:t xml:space="preserve">Un taglio permanente dall’imposizione sul reddito d’impresa, </w:t>
      </w:r>
      <w:r w:rsidR="002D5F27">
        <w:t>IRES</w:t>
      </w:r>
      <w:r w:rsidR="00E82035" w:rsidRPr="0070655A">
        <w:t xml:space="preserve"> e altre imposte gravanti sugli input delle imprese</w:t>
      </w:r>
      <w:r w:rsidR="00526738" w:rsidRPr="0070655A">
        <w:t>;</w:t>
      </w:r>
    </w:p>
    <w:p w:rsidR="005D156A" w:rsidRPr="0070655A" w:rsidRDefault="005D156A" w:rsidP="005D156A">
      <w:pPr>
        <w:pStyle w:val="Paragrafoelenco"/>
        <w:numPr>
          <w:ilvl w:val="0"/>
          <w:numId w:val="1"/>
        </w:numPr>
        <w:jc w:val="both"/>
      </w:pPr>
      <w:r w:rsidRPr="0070655A">
        <w:t>Disatt</w:t>
      </w:r>
      <w:r w:rsidR="001951D9">
        <w:t>iva</w:t>
      </w:r>
      <w:r w:rsidRPr="0070655A">
        <w:t>zione</w:t>
      </w:r>
      <w:r w:rsidR="008610F5" w:rsidRPr="0070655A">
        <w:t xml:space="preserve"> perman</w:t>
      </w:r>
      <w:r w:rsidR="002426C9" w:rsidRPr="0070655A">
        <w:t>ente</w:t>
      </w:r>
      <w:r w:rsidRPr="0070655A">
        <w:t xml:space="preserve"> delle clausole di salvaguardia</w:t>
      </w:r>
      <w:r w:rsidR="002426C9" w:rsidRPr="0070655A">
        <w:t>;</w:t>
      </w:r>
    </w:p>
    <w:p w:rsidR="00526738" w:rsidRPr="0070655A" w:rsidRDefault="00526738" w:rsidP="00BF614F">
      <w:pPr>
        <w:pStyle w:val="Paragrafoelenco"/>
        <w:numPr>
          <w:ilvl w:val="0"/>
          <w:numId w:val="1"/>
        </w:numPr>
        <w:jc w:val="both"/>
      </w:pPr>
      <w:r w:rsidRPr="0070655A">
        <w:t>Un</w:t>
      </w:r>
      <w:r w:rsidR="00E82035" w:rsidRPr="0070655A">
        <w:t xml:space="preserve"> </w:t>
      </w:r>
      <w:r w:rsidR="008548C7" w:rsidRPr="0070655A">
        <w:t xml:space="preserve">insieme di misure idonee a </w:t>
      </w:r>
      <w:r w:rsidR="00E82035" w:rsidRPr="0070655A">
        <w:t>ridurre drasticamente in pochi anni</w:t>
      </w:r>
      <w:r w:rsidRPr="0070655A">
        <w:t xml:space="preserve"> l’evasione fiscale.</w:t>
      </w:r>
    </w:p>
    <w:p w:rsidR="00123756" w:rsidRPr="0070655A" w:rsidRDefault="00123756" w:rsidP="00123756">
      <w:pPr>
        <w:jc w:val="both"/>
      </w:pPr>
      <w:r w:rsidRPr="0070655A">
        <w:t>La proposta prevede anche l’abolizione dell’IMU e di tutti i prelievi oggi esistenti sui redditi di capitale, nonché il forte ridimensionamento della imposta di registro e la loro sostituzione con un’imposta personale progress</w:t>
      </w:r>
      <w:r w:rsidR="001951D9">
        <w:t>iva</w:t>
      </w:r>
      <w:r w:rsidRPr="0070655A">
        <w:t xml:space="preserve"> sui valori patrimoniali valutati ai prezzi di mercato e a parità di gettito. Questo aspetto della proposta non può essere simulato con i modelli macroeconomici disponibili. </w:t>
      </w:r>
      <w:r w:rsidRPr="000702A1">
        <w:t>Esso tuttavia contribuirebbe a ridurre in modo rilevante le diseguaglianze esistenti</w:t>
      </w:r>
      <w:r w:rsidR="001840AC">
        <w:t>, e quindi dovrebbe avere l’effetto di aumentare il livello dei consumi.</w:t>
      </w:r>
    </w:p>
    <w:p w:rsidR="000A7EA6" w:rsidRPr="0070655A" w:rsidRDefault="000A7EA6" w:rsidP="00BF614F">
      <w:pPr>
        <w:jc w:val="both"/>
        <w:rPr>
          <w:bCs/>
        </w:rPr>
      </w:pPr>
      <w:r w:rsidRPr="0070655A">
        <w:rPr>
          <w:bCs/>
        </w:rPr>
        <w:t>La riforma dell’</w:t>
      </w:r>
      <w:r w:rsidR="002D5F27">
        <w:rPr>
          <w:bCs/>
        </w:rPr>
        <w:t>IRPEF</w:t>
      </w:r>
      <w:r w:rsidRPr="0070655A">
        <w:rPr>
          <w:bCs/>
        </w:rPr>
        <w:t xml:space="preserve"> e dell’assegno per le famiglie mira a favorire una maggiore progressività dell’imposta e, contestualmente, l’alleggerimento del carico impositivo ricadente s</w:t>
      </w:r>
      <w:r w:rsidR="00BF614F" w:rsidRPr="0070655A">
        <w:rPr>
          <w:bCs/>
        </w:rPr>
        <w:t>ul ceto medio. In particolare, la riforma prevede: 1)</w:t>
      </w:r>
      <w:r w:rsidRPr="0070655A">
        <w:rPr>
          <w:bCs/>
        </w:rPr>
        <w:t xml:space="preserve"> un’estensione del numero di sca</w:t>
      </w:r>
      <w:r w:rsidR="00200CE2" w:rsidRPr="0070655A">
        <w:rPr>
          <w:bCs/>
        </w:rPr>
        <w:t>glioni con</w:t>
      </w:r>
      <w:r w:rsidR="00E82035" w:rsidRPr="0070655A">
        <w:rPr>
          <w:bCs/>
        </w:rPr>
        <w:t xml:space="preserve"> </w:t>
      </w:r>
      <w:r w:rsidRPr="0070655A">
        <w:rPr>
          <w:bCs/>
        </w:rPr>
        <w:t xml:space="preserve">aliquota massima </w:t>
      </w:r>
      <w:r w:rsidR="00200CE2" w:rsidRPr="0070655A">
        <w:rPr>
          <w:bCs/>
        </w:rPr>
        <w:t xml:space="preserve">che </w:t>
      </w:r>
      <w:r w:rsidR="00E82035" w:rsidRPr="0070655A">
        <w:rPr>
          <w:bCs/>
        </w:rPr>
        <w:t xml:space="preserve">dovrebbe collocarsi intorno </w:t>
      </w:r>
      <w:r w:rsidRPr="0070655A">
        <w:rPr>
          <w:bCs/>
        </w:rPr>
        <w:t>al 50% per redditi che superano i 300 mila euro</w:t>
      </w:r>
      <w:r w:rsidR="00200CE2" w:rsidRPr="0070655A">
        <w:rPr>
          <w:bCs/>
        </w:rPr>
        <w:t xml:space="preserve"> (o, alternat</w:t>
      </w:r>
      <w:r w:rsidR="00376648">
        <w:rPr>
          <w:bCs/>
        </w:rPr>
        <w:t>iva</w:t>
      </w:r>
      <w:r w:rsidR="00200CE2" w:rsidRPr="0070655A">
        <w:rPr>
          <w:bCs/>
        </w:rPr>
        <w:t>mente, l’introduzione di una funzione matematica continua per determinare l’aliquota media di imposta per ogni livello di reddito secondo il modello tedesco)</w:t>
      </w:r>
      <w:r w:rsidRPr="0070655A">
        <w:rPr>
          <w:bCs/>
        </w:rPr>
        <w:t xml:space="preserve">; </w:t>
      </w:r>
      <w:r w:rsidR="00BF614F" w:rsidRPr="0070655A">
        <w:rPr>
          <w:bCs/>
        </w:rPr>
        <w:t xml:space="preserve">3) la creazione di un nuovo </w:t>
      </w:r>
      <w:r w:rsidRPr="0070655A">
        <w:rPr>
          <w:bCs/>
        </w:rPr>
        <w:t xml:space="preserve">assegno per le famiglie </w:t>
      </w:r>
      <w:r w:rsidR="00BF614F" w:rsidRPr="0070655A">
        <w:rPr>
          <w:bCs/>
        </w:rPr>
        <w:t>che assorba</w:t>
      </w:r>
      <w:r w:rsidRPr="0070655A">
        <w:rPr>
          <w:bCs/>
        </w:rPr>
        <w:t xml:space="preserve"> le </w:t>
      </w:r>
      <w:r w:rsidR="00BF614F" w:rsidRPr="0070655A">
        <w:rPr>
          <w:bCs/>
        </w:rPr>
        <w:t xml:space="preserve">attuali </w:t>
      </w:r>
      <w:r w:rsidRPr="0070655A">
        <w:rPr>
          <w:bCs/>
        </w:rPr>
        <w:t>detrazioni per carichi familiari, gli assegni familiari e il bonus bebè.</w:t>
      </w:r>
    </w:p>
    <w:p w:rsidR="00304AE1" w:rsidRPr="0070655A" w:rsidRDefault="00304AE1" w:rsidP="00BF614F">
      <w:pPr>
        <w:jc w:val="both"/>
      </w:pPr>
      <w:r w:rsidRPr="0070655A">
        <w:rPr>
          <w:bCs/>
        </w:rPr>
        <w:t>La riforma dell’</w:t>
      </w:r>
      <w:r w:rsidR="00376648">
        <w:rPr>
          <w:bCs/>
        </w:rPr>
        <w:t>IVA</w:t>
      </w:r>
      <w:r w:rsidRPr="0070655A">
        <w:rPr>
          <w:bCs/>
        </w:rPr>
        <w:t xml:space="preserve"> ha come obiettivo primario l’abbattimento della perdita del gettito dovut</w:t>
      </w:r>
      <w:r w:rsidR="008F1629">
        <w:rPr>
          <w:bCs/>
        </w:rPr>
        <w:t>a</w:t>
      </w:r>
      <w:r w:rsidRPr="0070655A">
        <w:rPr>
          <w:bCs/>
        </w:rPr>
        <w:t xml:space="preserve"> all’arbitraggio tra aliquote</w:t>
      </w:r>
      <w:r w:rsidR="00146EA9" w:rsidRPr="0070655A">
        <w:rPr>
          <w:bCs/>
        </w:rPr>
        <w:t xml:space="preserve"> e la semplificazione della struttura imposit</w:t>
      </w:r>
      <w:r w:rsidR="00376648">
        <w:rPr>
          <w:bCs/>
        </w:rPr>
        <w:t>iva</w:t>
      </w:r>
      <w:r w:rsidR="00146EA9" w:rsidRPr="0070655A">
        <w:rPr>
          <w:bCs/>
        </w:rPr>
        <w:t xml:space="preserve"> della spesa per consumi</w:t>
      </w:r>
      <w:r w:rsidRPr="0070655A">
        <w:rPr>
          <w:bCs/>
        </w:rPr>
        <w:t xml:space="preserve">. </w:t>
      </w:r>
      <w:r w:rsidR="00146EA9" w:rsidRPr="0070655A">
        <w:rPr>
          <w:bCs/>
        </w:rPr>
        <w:t>Se l</w:t>
      </w:r>
      <w:r w:rsidRPr="0070655A">
        <w:rPr>
          <w:bCs/>
        </w:rPr>
        <w:t>’aliquota</w:t>
      </w:r>
      <w:r w:rsidR="00376648">
        <w:rPr>
          <w:bCs/>
        </w:rPr>
        <w:t xml:space="preserve"> IVA </w:t>
      </w:r>
      <w:r w:rsidRPr="0070655A">
        <w:t xml:space="preserve">fosse unificata </w:t>
      </w:r>
      <w:r w:rsidR="00D965BE" w:rsidRPr="0070655A">
        <w:t>intorno al 15%</w:t>
      </w:r>
      <w:r w:rsidR="0082759E" w:rsidRPr="0070655A">
        <w:t xml:space="preserve">, </w:t>
      </w:r>
      <w:r w:rsidRPr="0070655A">
        <w:t>scomparirebbe l’evasione dovuta all’arbitraggio sulle aliquote</w:t>
      </w:r>
      <w:r w:rsidR="005D156A" w:rsidRPr="0070655A">
        <w:t xml:space="preserve"> </w:t>
      </w:r>
      <w:r w:rsidR="00A85215" w:rsidRPr="0070655A">
        <w:t>consentendo un recupero di imposta per</w:t>
      </w:r>
      <w:r w:rsidR="005D156A" w:rsidRPr="0070655A">
        <w:t xml:space="preserve"> circa 7 miliardi. </w:t>
      </w:r>
      <w:r w:rsidRPr="0070655A">
        <w:rPr>
          <w:bCs/>
        </w:rPr>
        <w:t>Se</w:t>
      </w:r>
      <w:r w:rsidR="001B63F2" w:rsidRPr="0070655A">
        <w:rPr>
          <w:bCs/>
        </w:rPr>
        <w:t xml:space="preserve"> invece</w:t>
      </w:r>
      <w:r w:rsidRPr="0070655A">
        <w:rPr>
          <w:bCs/>
        </w:rPr>
        <w:t xml:space="preserve"> le aliquote venissero riorganizzate su due livelli</w:t>
      </w:r>
      <w:r w:rsidRPr="0070655A">
        <w:t xml:space="preserve"> </w:t>
      </w:r>
      <w:r w:rsidR="001B63F2" w:rsidRPr="0070655A">
        <w:t>(</w:t>
      </w:r>
      <w:r w:rsidRPr="0070655A">
        <w:t>5% per acquisto di abitazioni, generi alimentari, prestazioni sanitarie, prodotti editoriali,</w:t>
      </w:r>
      <w:r w:rsidR="001B63F2" w:rsidRPr="0070655A">
        <w:t xml:space="preserve"> e </w:t>
      </w:r>
      <w:r w:rsidR="00D965BE" w:rsidRPr="0070655A">
        <w:t>19% circa</w:t>
      </w:r>
      <w:r w:rsidR="001B63F2" w:rsidRPr="0070655A">
        <w:t xml:space="preserve"> per i restanti beni),</w:t>
      </w:r>
      <w:r w:rsidRPr="0070655A">
        <w:t xml:space="preserve"> il recupero di evasione sarebbe </w:t>
      </w:r>
      <w:r w:rsidR="001B63F2" w:rsidRPr="0070655A">
        <w:t>minore</w:t>
      </w:r>
      <w:r w:rsidR="00BE604E" w:rsidRPr="0070655A">
        <w:t>,</w:t>
      </w:r>
      <w:r w:rsidR="001B63F2" w:rsidRPr="0070655A">
        <w:t xml:space="preserve"> ma </w:t>
      </w:r>
      <w:r w:rsidRPr="0070655A">
        <w:t xml:space="preserve">comunque </w:t>
      </w:r>
      <w:r w:rsidR="001B63F2" w:rsidRPr="0070655A">
        <w:t>non inferiore ai</w:t>
      </w:r>
      <w:r w:rsidRPr="0070655A">
        <w:t xml:space="preserve"> 3,5 miliardi</w:t>
      </w:r>
      <w:r w:rsidR="005D156A" w:rsidRPr="0070655A">
        <w:t>.</w:t>
      </w:r>
    </w:p>
    <w:p w:rsidR="00CB1488" w:rsidRPr="0070655A" w:rsidRDefault="00D965BE" w:rsidP="00BF614F">
      <w:pPr>
        <w:jc w:val="both"/>
      </w:pPr>
      <w:r w:rsidRPr="0070655A">
        <w:t>L’imposta per il welfare</w:t>
      </w:r>
      <w:r w:rsidR="005A1D87" w:rsidRPr="0070655A">
        <w:t xml:space="preserve"> persegue tre</w:t>
      </w:r>
      <w:r w:rsidR="00735F66" w:rsidRPr="0070655A">
        <w:t xml:space="preserve"> obiettivi paralleli: </w:t>
      </w:r>
      <w:r w:rsidR="005A1D87" w:rsidRPr="0070655A">
        <w:t xml:space="preserve">1) </w:t>
      </w:r>
      <w:r w:rsidR="00735F66" w:rsidRPr="0070655A">
        <w:t xml:space="preserve">recuperare il gettito </w:t>
      </w:r>
      <w:r w:rsidR="00BE604E" w:rsidRPr="0070655A">
        <w:t>in</w:t>
      </w:r>
      <w:r w:rsidR="005D5437" w:rsidRPr="0070655A">
        <w:t xml:space="preserve"> entrat</w:t>
      </w:r>
      <w:r w:rsidR="00BE604E" w:rsidRPr="0070655A">
        <w:t>a</w:t>
      </w:r>
      <w:r w:rsidR="005D5437" w:rsidRPr="0070655A">
        <w:t xml:space="preserve"> </w:t>
      </w:r>
      <w:r w:rsidR="00735F66" w:rsidRPr="0070655A">
        <w:t xml:space="preserve">perso a causa della </w:t>
      </w:r>
      <w:r w:rsidR="005D5437" w:rsidRPr="0070655A">
        <w:t>abolizione dell’</w:t>
      </w:r>
      <w:r w:rsidR="002D5F27">
        <w:t>IRAP</w:t>
      </w:r>
      <w:r w:rsidR="005D5437" w:rsidRPr="0070655A">
        <w:t xml:space="preserve"> e dei contributi</w:t>
      </w:r>
      <w:r w:rsidR="00123756" w:rsidRPr="0070655A">
        <w:t xml:space="preserve"> previdenziali</w:t>
      </w:r>
      <w:r w:rsidR="00BE604E" w:rsidRPr="0070655A">
        <w:t xml:space="preserve"> contenuto nella proposta</w:t>
      </w:r>
      <w:r w:rsidR="005D5437" w:rsidRPr="0070655A">
        <w:t xml:space="preserve">; </w:t>
      </w:r>
      <w:r w:rsidR="005A1D87" w:rsidRPr="0070655A">
        <w:t>2) garantire la</w:t>
      </w:r>
      <w:r w:rsidR="005D5437" w:rsidRPr="0070655A">
        <w:t xml:space="preserve"> neutralità dell’intervento rispetto alle scelte delle imprese tra l</w:t>
      </w:r>
      <w:r w:rsidR="005D156A" w:rsidRPr="0070655A">
        <w:t>avoro e capitale</w:t>
      </w:r>
      <w:r w:rsidR="001840AC">
        <w:t xml:space="preserve">: oggi il lavoro è fortemente </w:t>
      </w:r>
      <w:r w:rsidR="001840AC">
        <w:lastRenderedPageBreak/>
        <w:t>discriminato</w:t>
      </w:r>
      <w:r w:rsidR="005D156A" w:rsidRPr="0070655A">
        <w:t xml:space="preserve">; </w:t>
      </w:r>
      <w:r w:rsidR="005A1D87" w:rsidRPr="0070655A">
        <w:t xml:space="preserve">3) </w:t>
      </w:r>
      <w:r w:rsidR="005505AE" w:rsidRPr="0070655A">
        <w:t xml:space="preserve">fornire risorse per l’istituzione di </w:t>
      </w:r>
      <w:r w:rsidR="00BE604E" w:rsidRPr="0070655A">
        <w:t xml:space="preserve">un </w:t>
      </w:r>
      <w:r w:rsidR="005505AE" w:rsidRPr="0070655A">
        <w:t>Fondo per</w:t>
      </w:r>
      <w:r w:rsidR="00211189" w:rsidRPr="0070655A">
        <w:t xml:space="preserve"> il sostegno del </w:t>
      </w:r>
      <w:r w:rsidR="005505AE" w:rsidRPr="0070655A">
        <w:t xml:space="preserve">welfare. </w:t>
      </w:r>
      <w:r w:rsidR="00BE604E" w:rsidRPr="0070655A">
        <w:t>Con riferimento all’obiettivo 2), è</w:t>
      </w:r>
      <w:r w:rsidR="00290425" w:rsidRPr="0070655A">
        <w:t xml:space="preserve"> bene osservare come</w:t>
      </w:r>
      <w:r w:rsidR="005D5437" w:rsidRPr="0070655A">
        <w:t xml:space="preserve"> </w:t>
      </w:r>
      <w:r w:rsidR="005505AE" w:rsidRPr="0070655A">
        <w:t>l</w:t>
      </w:r>
      <w:r w:rsidR="005D5437" w:rsidRPr="0070655A">
        <w:t xml:space="preserve">a perfetta neutralità </w:t>
      </w:r>
      <w:r w:rsidRPr="0070655A">
        <w:t>della nuova imposta</w:t>
      </w:r>
      <w:r w:rsidR="00290425" w:rsidRPr="0070655A">
        <w:t xml:space="preserve"> dia </w:t>
      </w:r>
      <w:r w:rsidRPr="0070655A">
        <w:t>ad essa</w:t>
      </w:r>
      <w:r w:rsidR="005D5437" w:rsidRPr="0070655A">
        <w:t xml:space="preserve"> </w:t>
      </w:r>
      <w:r w:rsidR="00735F66" w:rsidRPr="0070655A">
        <w:t xml:space="preserve">una forte </w:t>
      </w:r>
      <w:r w:rsidRPr="0070655A">
        <w:t>valenza</w:t>
      </w:r>
      <w:r w:rsidR="005D5437" w:rsidRPr="0070655A">
        <w:t xml:space="preserve"> espans</w:t>
      </w:r>
      <w:r w:rsidR="00376648">
        <w:t>iva</w:t>
      </w:r>
      <w:r w:rsidR="00735F66" w:rsidRPr="0070655A">
        <w:t xml:space="preserve"> a causa della f</w:t>
      </w:r>
      <w:r w:rsidR="00CB1488" w:rsidRPr="0070655A">
        <w:t xml:space="preserve">ortissima riduzione del costo del lavoro e </w:t>
      </w:r>
      <w:r w:rsidR="00BE604E" w:rsidRPr="0070655A">
        <w:t>de</w:t>
      </w:r>
      <w:r w:rsidR="00735F66" w:rsidRPr="0070655A">
        <w:t>ll’</w:t>
      </w:r>
      <w:r w:rsidR="00CB1488" w:rsidRPr="0070655A">
        <w:t>aumento della competitività internazionale</w:t>
      </w:r>
      <w:r w:rsidR="002426C9" w:rsidRPr="0070655A">
        <w:t xml:space="preserve"> </w:t>
      </w:r>
      <w:r w:rsidR="00BE604E" w:rsidRPr="0070655A">
        <w:t xml:space="preserve">delle imprese italiane </w:t>
      </w:r>
      <w:r w:rsidR="002426C9" w:rsidRPr="0070655A">
        <w:t xml:space="preserve">che essa </w:t>
      </w:r>
      <w:r w:rsidR="00735F66" w:rsidRPr="0070655A">
        <w:t>genera</w:t>
      </w:r>
      <w:r w:rsidR="005D5437" w:rsidRPr="0070655A">
        <w:t>.</w:t>
      </w:r>
      <w:r w:rsidR="00123756" w:rsidRPr="0070655A">
        <w:t xml:space="preserve"> In sostanza la nuova imposta detassa il lavoro e tassa i “robts”, gli algoritmi, ecc.</w:t>
      </w:r>
    </w:p>
    <w:p w:rsidR="002426C9" w:rsidRPr="0070655A" w:rsidRDefault="002426C9" w:rsidP="002426C9">
      <w:pPr>
        <w:jc w:val="both"/>
      </w:pPr>
      <w:r w:rsidRPr="0070655A">
        <w:t>Il recupero di evasione, che la proposta valuta (in misura cautelat</w:t>
      </w:r>
      <w:r w:rsidR="00376648">
        <w:t>iva</w:t>
      </w:r>
      <w:r w:rsidRPr="0070655A">
        <w:t xml:space="preserve">) </w:t>
      </w:r>
      <w:r w:rsidR="00BA1EAE" w:rsidRPr="0070655A">
        <w:t xml:space="preserve">in </w:t>
      </w:r>
      <w:r w:rsidRPr="0070655A">
        <w:t>circa 30 miliardi di euro all’anno, sarà indirizzato per finanziare la riduzione dell’</w:t>
      </w:r>
      <w:r w:rsidR="002D5F27">
        <w:t>IRPEF</w:t>
      </w:r>
      <w:r w:rsidRPr="0070655A">
        <w:t xml:space="preserve"> e dell’</w:t>
      </w:r>
      <w:r w:rsidR="002D5F27">
        <w:t>IRES</w:t>
      </w:r>
      <w:r w:rsidRPr="0070655A">
        <w:t xml:space="preserve">. </w:t>
      </w:r>
      <w:r w:rsidR="00123756" w:rsidRPr="0070655A">
        <w:t>Le</w:t>
      </w:r>
      <w:r w:rsidRPr="0070655A">
        <w:t xml:space="preserve"> misure</w:t>
      </w:r>
      <w:r w:rsidR="00123756" w:rsidRPr="0070655A">
        <w:t xml:space="preserve"> che caratterizzano</w:t>
      </w:r>
      <w:r w:rsidRPr="0070655A">
        <w:t xml:space="preserve"> questo intervento </w:t>
      </w:r>
      <w:r w:rsidR="00993678" w:rsidRPr="0070655A">
        <w:t xml:space="preserve">sono state esposte analiticamente in numerosi rapporti </w:t>
      </w:r>
      <w:r w:rsidR="002D5F27">
        <w:t>NENS</w:t>
      </w:r>
      <w:r w:rsidR="00993678" w:rsidRPr="0070655A">
        <w:t xml:space="preserve"> negli ultimi anni e vengono riportate</w:t>
      </w:r>
      <w:r w:rsidR="00B25110" w:rsidRPr="0070655A">
        <w:t xml:space="preserve"> in modo sintetico in Appendice </w:t>
      </w:r>
      <w:r w:rsidR="00BC4ECC" w:rsidRPr="0070655A">
        <w:t xml:space="preserve">(cfr. Appendice I </w:t>
      </w:r>
      <w:r w:rsidR="00B25110" w:rsidRPr="0070655A">
        <w:t>a fine test</w:t>
      </w:r>
      <w:r w:rsidR="00BC4ECC" w:rsidRPr="0070655A">
        <w:t>o)</w:t>
      </w:r>
    </w:p>
    <w:p w:rsidR="00471AC2" w:rsidRPr="0070655A" w:rsidRDefault="00471AC2" w:rsidP="00BF614F">
      <w:pPr>
        <w:jc w:val="both"/>
      </w:pPr>
      <w:r w:rsidRPr="0070655A">
        <w:t xml:space="preserve">Dal </w:t>
      </w:r>
      <w:r w:rsidR="00211189" w:rsidRPr="0070655A">
        <w:t>lato della spesa, la nostra proposta</w:t>
      </w:r>
      <w:r w:rsidRPr="0070655A">
        <w:t xml:space="preserve"> prevede:</w:t>
      </w:r>
    </w:p>
    <w:p w:rsidR="00CB1488" w:rsidRPr="0070655A" w:rsidRDefault="00CB1488" w:rsidP="00BF614F">
      <w:pPr>
        <w:pStyle w:val="Paragrafoelenco"/>
        <w:numPr>
          <w:ilvl w:val="0"/>
          <w:numId w:val="2"/>
        </w:numPr>
        <w:jc w:val="both"/>
      </w:pPr>
      <w:r w:rsidRPr="0070655A">
        <w:t>Un piano pluriennale di aumento della spesa per investimenti</w:t>
      </w:r>
      <w:r w:rsidR="00A80736" w:rsidRPr="0070655A">
        <w:t>;</w:t>
      </w:r>
    </w:p>
    <w:p w:rsidR="00CB1488" w:rsidRPr="0070655A" w:rsidRDefault="00316CA5" w:rsidP="00BF614F">
      <w:pPr>
        <w:pStyle w:val="Paragrafoelenco"/>
        <w:numPr>
          <w:ilvl w:val="0"/>
          <w:numId w:val="2"/>
        </w:numPr>
        <w:jc w:val="both"/>
      </w:pPr>
      <w:r w:rsidRPr="0070655A">
        <w:t>La creazione</w:t>
      </w:r>
      <w:r w:rsidR="00344D32" w:rsidRPr="0070655A">
        <w:t xml:space="preserve"> di un fondo per il finanziamento del welfare</w:t>
      </w:r>
      <w:r w:rsidR="00A80736" w:rsidRPr="0070655A">
        <w:t>.</w:t>
      </w:r>
    </w:p>
    <w:p w:rsidR="005D156A" w:rsidRPr="0070655A" w:rsidRDefault="00DD6EDC" w:rsidP="00316CA5">
      <w:pPr>
        <w:jc w:val="both"/>
      </w:pPr>
      <w:r w:rsidRPr="0070655A">
        <w:t xml:space="preserve">Con </w:t>
      </w:r>
      <w:r w:rsidR="00BF45FB" w:rsidRPr="0070655A">
        <w:t>il procedere</w:t>
      </w:r>
      <w:r w:rsidRPr="0070655A">
        <w:t xml:space="preserve"> della crisi, la spesa per investimenti pubblici è stata ripetutamente oggetto di tagli e revisioni. La </w:t>
      </w:r>
      <w:r w:rsidR="008548C7" w:rsidRPr="0070655A">
        <w:t>nostra proposta</w:t>
      </w:r>
      <w:r w:rsidRPr="0070655A">
        <w:t xml:space="preserve"> ha come obiettivo quello di riportare la spesa per investimenti in rapporto al Pil dell’Italia su livelli vicini</w:t>
      </w:r>
      <w:r w:rsidR="00A54418" w:rsidRPr="0070655A">
        <w:t xml:space="preserve"> a quelli pre-crisi</w:t>
      </w:r>
      <w:r w:rsidR="005A731E" w:rsidRPr="0070655A">
        <w:t xml:space="preserve"> attraverso </w:t>
      </w:r>
      <w:r w:rsidR="00D965BE" w:rsidRPr="0070655A">
        <w:t>la realizzazione</w:t>
      </w:r>
      <w:r w:rsidR="005A731E" w:rsidRPr="0070655A">
        <w:t xml:space="preserve"> di un programma di investimenti pubblici che metta al primo posto </w:t>
      </w:r>
      <w:r w:rsidR="00D67789" w:rsidRPr="0070655A">
        <w:t>quegli interventi</w:t>
      </w:r>
      <w:r w:rsidR="005A731E" w:rsidRPr="0070655A">
        <w:t xml:space="preserve"> </w:t>
      </w:r>
      <w:r w:rsidR="00A54418" w:rsidRPr="0070655A">
        <w:t xml:space="preserve">in grado di garantire effetti moltiplicativi superiori ad 1. </w:t>
      </w:r>
      <w:r w:rsidR="00D67789" w:rsidRPr="0070655A">
        <w:t>In particolare, r</w:t>
      </w:r>
      <w:r w:rsidR="005A1D87" w:rsidRPr="0070655A">
        <w:t>ientrano in questa categoria</w:t>
      </w:r>
      <w:r w:rsidR="00A54418" w:rsidRPr="0070655A">
        <w:t xml:space="preserve">: 1) </w:t>
      </w:r>
      <w:r w:rsidR="00161527" w:rsidRPr="0070655A">
        <w:t>il rafforzamento infrastrutturale del Paese; 2) la riqualificazione energetica del patrimonio immobiliare italiano; 3) la messa in sicurezza del territorio dal dissesto idro-geologico, con particolare riferimento alle aree sottoposte a rischio sismico; 4) la bonifica, riqualificazione e riconversione dei centri stor</w:t>
      </w:r>
      <w:r w:rsidR="00316CA5" w:rsidRPr="0070655A">
        <w:t>ici dei comuni</w:t>
      </w:r>
      <w:r w:rsidR="00161527" w:rsidRPr="0070655A">
        <w:t xml:space="preserve"> colpiti dal fenom</w:t>
      </w:r>
      <w:r w:rsidR="00316CA5" w:rsidRPr="0070655A">
        <w:t xml:space="preserve">eno dello spopolamento </w:t>
      </w:r>
      <w:r w:rsidR="00D67789" w:rsidRPr="0070655A">
        <w:t>(</w:t>
      </w:r>
      <w:r w:rsidR="00316CA5" w:rsidRPr="0070655A">
        <w:t>da attuarsi anche attraverso la creazione di programm</w:t>
      </w:r>
      <w:r w:rsidR="00D67789" w:rsidRPr="0070655A">
        <w:t>i</w:t>
      </w:r>
      <w:r w:rsidR="00316CA5" w:rsidRPr="0070655A">
        <w:t xml:space="preserve"> specific</w:t>
      </w:r>
      <w:r w:rsidR="00D67789" w:rsidRPr="0070655A">
        <w:t>i</w:t>
      </w:r>
      <w:r w:rsidR="00316CA5" w:rsidRPr="0070655A">
        <w:t xml:space="preserve"> per i comuni delle </w:t>
      </w:r>
      <w:r w:rsidR="00D67789" w:rsidRPr="0070655A">
        <w:t xml:space="preserve">cd </w:t>
      </w:r>
      <w:r w:rsidR="00316CA5" w:rsidRPr="0070655A">
        <w:t>aree interne e del mezzogiorno</w:t>
      </w:r>
      <w:r w:rsidR="00D67789" w:rsidRPr="0070655A">
        <w:t>)</w:t>
      </w:r>
      <w:r w:rsidR="00316CA5" w:rsidRPr="0070655A">
        <w:t>.</w:t>
      </w:r>
    </w:p>
    <w:p w:rsidR="00DE3BC9" w:rsidRPr="0070655A" w:rsidRDefault="00DE3BC9" w:rsidP="00BA30CB">
      <w:pPr>
        <w:jc w:val="both"/>
      </w:pPr>
      <w:r w:rsidRPr="0070655A">
        <w:t>La tab.1 f</w:t>
      </w:r>
      <w:r w:rsidR="00227AE0" w:rsidRPr="0070655A">
        <w:t xml:space="preserve">ornisce una quantificazione per ognuna delle voci di intervento previste dalla </w:t>
      </w:r>
      <w:r w:rsidR="008548C7" w:rsidRPr="0070655A">
        <w:t>proposta</w:t>
      </w:r>
      <w:r w:rsidR="00227AE0" w:rsidRPr="0070655A">
        <w:t>.</w:t>
      </w:r>
      <w:r w:rsidRPr="0070655A">
        <w:t xml:space="preserve"> </w:t>
      </w:r>
      <w:r w:rsidR="005A1D87" w:rsidRPr="0070655A">
        <w:t>La tabella</w:t>
      </w:r>
      <w:r w:rsidR="00227AE0" w:rsidRPr="0070655A">
        <w:t xml:space="preserve"> si concentra su un arco temporale di tre anni che va dal 2019 al 2021.</w:t>
      </w:r>
    </w:p>
    <w:p w:rsidR="005A1D87" w:rsidRPr="0070655A" w:rsidRDefault="005A1D87" w:rsidP="001951D9">
      <w:pPr>
        <w:pStyle w:val="Didascalia"/>
        <w:keepNext/>
        <w:spacing w:before="240"/>
        <w:jc w:val="both"/>
        <w:rPr>
          <w:b/>
          <w:i w:val="0"/>
          <w:color w:val="auto"/>
        </w:rPr>
      </w:pPr>
      <w:r w:rsidRPr="0070655A">
        <w:rPr>
          <w:b/>
          <w:i w:val="0"/>
          <w:color w:val="auto"/>
        </w:rPr>
        <w:t xml:space="preserve">Tabella </w:t>
      </w:r>
      <w:r w:rsidR="005A731E" w:rsidRPr="0070655A">
        <w:rPr>
          <w:b/>
          <w:i w:val="0"/>
          <w:noProof/>
          <w:color w:val="auto"/>
        </w:rPr>
        <w:fldChar w:fldCharType="begin"/>
      </w:r>
      <w:r w:rsidR="005A731E" w:rsidRPr="0070655A">
        <w:rPr>
          <w:b/>
          <w:i w:val="0"/>
          <w:noProof/>
          <w:color w:val="auto"/>
        </w:rPr>
        <w:instrText xml:space="preserve"> SEQ Tabella \* ARABIC </w:instrText>
      </w:r>
      <w:r w:rsidR="005A731E" w:rsidRPr="0070655A">
        <w:rPr>
          <w:b/>
          <w:i w:val="0"/>
          <w:noProof/>
          <w:color w:val="auto"/>
        </w:rPr>
        <w:fldChar w:fldCharType="separate"/>
      </w:r>
      <w:r w:rsidR="00DA0E8A" w:rsidRPr="0070655A">
        <w:rPr>
          <w:b/>
          <w:i w:val="0"/>
          <w:noProof/>
          <w:color w:val="auto"/>
        </w:rPr>
        <w:t>1</w:t>
      </w:r>
      <w:r w:rsidR="005A731E" w:rsidRPr="0070655A">
        <w:rPr>
          <w:b/>
          <w:i w:val="0"/>
          <w:noProof/>
          <w:color w:val="auto"/>
        </w:rPr>
        <w:fldChar w:fldCharType="end"/>
      </w:r>
      <w:r w:rsidRPr="0070655A">
        <w:rPr>
          <w:b/>
          <w:i w:val="0"/>
          <w:color w:val="auto"/>
        </w:rPr>
        <w:t>. Voci di entrata e di spesa previste dalla manovra</w:t>
      </w:r>
      <w:r w:rsidR="0074238B" w:rsidRPr="0070655A">
        <w:rPr>
          <w:b/>
          <w:i w:val="0"/>
          <w:color w:val="auto"/>
        </w:rPr>
        <w:t xml:space="preserve"> (dati in miliardi di euro)</w:t>
      </w:r>
      <w:r w:rsidRPr="0070655A">
        <w:rPr>
          <w:b/>
          <w:i w:val="0"/>
          <w:color w:val="auto"/>
        </w:rPr>
        <w:t xml:space="preserve"> – Fonte: stime </w:t>
      </w:r>
      <w:r w:rsidR="002D5F27">
        <w:rPr>
          <w:b/>
          <w:i w:val="0"/>
          <w:color w:val="auto"/>
        </w:rPr>
        <w:t>NENS</w:t>
      </w:r>
      <w:r w:rsidR="00C06D07" w:rsidRPr="0070655A">
        <w:rPr>
          <w:b/>
          <w:i w:val="0"/>
          <w:color w:val="auto"/>
        </w:rPr>
        <w:t>.</w:t>
      </w:r>
      <w:r w:rsidR="0074238B" w:rsidRPr="0070655A">
        <w:rPr>
          <w:b/>
          <w:i w:val="0"/>
          <w:color w:val="auto"/>
        </w:rPr>
        <w:t xml:space="preserve"> </w:t>
      </w:r>
      <w:r w:rsidR="00C06D07" w:rsidRPr="0070655A">
        <w:rPr>
          <w:b/>
          <w:i w:val="0"/>
          <w:color w:val="auto"/>
        </w:rPr>
        <w:t>N.B.: Il segno meno indica una maggiore spesa o una minore entrata.</w:t>
      </w:r>
      <w:r w:rsidR="001951D9">
        <w:rPr>
          <w:b/>
          <w:i w:val="0"/>
          <w:color w:val="auto"/>
        </w:rPr>
        <w:t xml:space="preserve"> Eventuali non corrispondenze sono dovute agli arrotondamenti</w:t>
      </w:r>
    </w:p>
    <w:tbl>
      <w:tblPr>
        <w:tblW w:w="9249" w:type="dxa"/>
        <w:jc w:val="center"/>
        <w:tblCellMar>
          <w:left w:w="70" w:type="dxa"/>
          <w:right w:w="70" w:type="dxa"/>
        </w:tblCellMar>
        <w:tblLook w:val="04A0" w:firstRow="1" w:lastRow="0" w:firstColumn="1" w:lastColumn="0" w:noHBand="0" w:noVBand="1"/>
      </w:tblPr>
      <w:tblGrid>
        <w:gridCol w:w="5949"/>
        <w:gridCol w:w="1100"/>
        <w:gridCol w:w="1100"/>
        <w:gridCol w:w="1100"/>
      </w:tblGrid>
      <w:tr w:rsidR="001B6EFF" w:rsidRPr="0070655A" w:rsidTr="005D1710">
        <w:trPr>
          <w:trHeight w:val="290"/>
          <w:jc w:val="center"/>
        </w:trPr>
        <w:tc>
          <w:tcPr>
            <w:tcW w:w="5949" w:type="dxa"/>
            <w:tcBorders>
              <w:top w:val="single" w:sz="4" w:space="0" w:color="auto"/>
              <w:left w:val="single" w:sz="4" w:space="0" w:color="auto"/>
              <w:bottom w:val="nil"/>
              <w:right w:val="nil"/>
            </w:tcBorders>
            <w:shd w:val="clear" w:color="auto" w:fill="D9D9D9" w:themeFill="background1" w:themeFillShade="D9"/>
            <w:noWrap/>
            <w:vAlign w:val="bottom"/>
            <w:hideMark/>
          </w:tcPr>
          <w:p w:rsidR="00227AE0" w:rsidRPr="0070655A" w:rsidRDefault="00227AE0" w:rsidP="00227AE0">
            <w:pPr>
              <w:spacing w:after="0" w:line="240" w:lineRule="auto"/>
              <w:rPr>
                <w:rFonts w:ascii="Calibri" w:eastAsia="Times New Roman" w:hAnsi="Calibri" w:cs="Times New Roman"/>
                <w:b/>
                <w:bCs/>
                <w:lang w:eastAsia="it-IT"/>
              </w:rPr>
            </w:pPr>
            <w:r w:rsidRPr="0070655A">
              <w:rPr>
                <w:rFonts w:ascii="Calibri" w:eastAsia="Times New Roman" w:hAnsi="Calibri" w:cs="Times New Roman"/>
                <w:b/>
                <w:bCs/>
                <w:lang w:eastAsia="it-IT"/>
              </w:rPr>
              <w:t> </w:t>
            </w:r>
          </w:p>
        </w:tc>
        <w:tc>
          <w:tcPr>
            <w:tcW w:w="1100" w:type="dxa"/>
            <w:tcBorders>
              <w:top w:val="single" w:sz="4" w:space="0" w:color="auto"/>
              <w:left w:val="nil"/>
              <w:bottom w:val="nil"/>
              <w:right w:val="nil"/>
            </w:tcBorders>
            <w:shd w:val="clear" w:color="auto" w:fill="D9D9D9" w:themeFill="background1" w:themeFillShade="D9"/>
            <w:noWrap/>
            <w:vAlign w:val="bottom"/>
            <w:hideMark/>
          </w:tcPr>
          <w:p w:rsidR="00227AE0" w:rsidRPr="0070655A" w:rsidRDefault="00227AE0" w:rsidP="00227AE0">
            <w:pPr>
              <w:spacing w:after="0" w:line="240" w:lineRule="auto"/>
              <w:jc w:val="right"/>
              <w:rPr>
                <w:rFonts w:ascii="Calibri" w:eastAsia="Times New Roman" w:hAnsi="Calibri" w:cs="Times New Roman"/>
                <w:b/>
                <w:bCs/>
                <w:lang w:eastAsia="it-IT"/>
              </w:rPr>
            </w:pPr>
            <w:r w:rsidRPr="0070655A">
              <w:rPr>
                <w:rFonts w:ascii="Calibri" w:eastAsia="Times New Roman" w:hAnsi="Calibri" w:cs="Times New Roman"/>
                <w:b/>
                <w:bCs/>
                <w:lang w:eastAsia="it-IT"/>
              </w:rPr>
              <w:t>2019</w:t>
            </w:r>
          </w:p>
        </w:tc>
        <w:tc>
          <w:tcPr>
            <w:tcW w:w="1100" w:type="dxa"/>
            <w:tcBorders>
              <w:top w:val="single" w:sz="4" w:space="0" w:color="auto"/>
              <w:left w:val="nil"/>
              <w:bottom w:val="nil"/>
              <w:right w:val="nil"/>
            </w:tcBorders>
            <w:shd w:val="clear" w:color="auto" w:fill="D9D9D9" w:themeFill="background1" w:themeFillShade="D9"/>
            <w:noWrap/>
            <w:vAlign w:val="bottom"/>
            <w:hideMark/>
          </w:tcPr>
          <w:p w:rsidR="00227AE0" w:rsidRPr="0070655A" w:rsidRDefault="00227AE0" w:rsidP="00227AE0">
            <w:pPr>
              <w:spacing w:after="0" w:line="240" w:lineRule="auto"/>
              <w:jc w:val="right"/>
              <w:rPr>
                <w:rFonts w:ascii="Calibri" w:eastAsia="Times New Roman" w:hAnsi="Calibri" w:cs="Times New Roman"/>
                <w:b/>
                <w:bCs/>
                <w:lang w:eastAsia="it-IT"/>
              </w:rPr>
            </w:pPr>
            <w:r w:rsidRPr="0070655A">
              <w:rPr>
                <w:rFonts w:ascii="Calibri" w:eastAsia="Times New Roman" w:hAnsi="Calibri" w:cs="Times New Roman"/>
                <w:b/>
                <w:bCs/>
                <w:lang w:eastAsia="it-IT"/>
              </w:rPr>
              <w:t>2020</w:t>
            </w:r>
          </w:p>
        </w:tc>
        <w:tc>
          <w:tcPr>
            <w:tcW w:w="1100" w:type="dxa"/>
            <w:tcBorders>
              <w:top w:val="single" w:sz="4" w:space="0" w:color="auto"/>
              <w:left w:val="nil"/>
              <w:bottom w:val="nil"/>
              <w:right w:val="single" w:sz="4" w:space="0" w:color="auto"/>
            </w:tcBorders>
            <w:shd w:val="clear" w:color="auto" w:fill="D9D9D9" w:themeFill="background1" w:themeFillShade="D9"/>
            <w:noWrap/>
            <w:vAlign w:val="bottom"/>
            <w:hideMark/>
          </w:tcPr>
          <w:p w:rsidR="00227AE0" w:rsidRPr="0070655A" w:rsidRDefault="00227AE0" w:rsidP="00227AE0">
            <w:pPr>
              <w:spacing w:after="0" w:line="240" w:lineRule="auto"/>
              <w:jc w:val="right"/>
              <w:rPr>
                <w:rFonts w:ascii="Calibri" w:eastAsia="Times New Roman" w:hAnsi="Calibri" w:cs="Times New Roman"/>
                <w:b/>
                <w:bCs/>
                <w:lang w:eastAsia="it-IT"/>
              </w:rPr>
            </w:pPr>
            <w:r w:rsidRPr="0070655A">
              <w:rPr>
                <w:rFonts w:ascii="Calibri" w:eastAsia="Times New Roman" w:hAnsi="Calibri" w:cs="Times New Roman"/>
                <w:b/>
                <w:bCs/>
                <w:lang w:eastAsia="it-IT"/>
              </w:rPr>
              <w:t>2021</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C06D07" w:rsidP="00227AE0">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Riforma IRPE</w:t>
            </w:r>
            <w:r w:rsidR="000D121A">
              <w:rPr>
                <w:rFonts w:ascii="Calibri" w:eastAsia="Times New Roman" w:hAnsi="Calibri" w:cs="Times New Roman"/>
                <w:lang w:eastAsia="it-IT"/>
              </w:rPr>
              <w:t>F</w:t>
            </w:r>
            <w:r w:rsidRPr="0070655A">
              <w:rPr>
                <w:rFonts w:ascii="Calibri" w:eastAsia="Times New Roman" w:hAnsi="Calibri" w:cs="Times New Roman"/>
                <w:lang w:eastAsia="it-IT"/>
              </w:rPr>
              <w:t xml:space="preserve"> e dell’assegno di famiglia</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-20,0</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-18,6</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-20,1</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C06D07" w:rsidP="00227AE0">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Riduzione</w:t>
            </w:r>
            <w:r w:rsidR="004027B2" w:rsidRPr="0070655A">
              <w:rPr>
                <w:rFonts w:ascii="Calibri" w:eastAsia="Times New Roman" w:hAnsi="Calibri" w:cs="Times New Roman"/>
                <w:lang w:eastAsia="it-IT"/>
              </w:rPr>
              <w:t xml:space="preserve"> </w:t>
            </w:r>
            <w:r w:rsidR="002D5F27">
              <w:rPr>
                <w:rFonts w:ascii="Calibri" w:eastAsia="Times New Roman" w:hAnsi="Calibri" w:cs="Times New Roman"/>
                <w:lang w:eastAsia="it-IT"/>
              </w:rPr>
              <w:t>IRES</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-10,0</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-10,2</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-10,5</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C06D07" w:rsidP="00227AE0">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Riduzione contributi</w:t>
            </w:r>
            <w:r w:rsidR="00227AE0" w:rsidRPr="0070655A">
              <w:rPr>
                <w:rFonts w:ascii="Calibri" w:eastAsia="Times New Roman" w:hAnsi="Calibri" w:cs="Times New Roman"/>
                <w:lang w:eastAsia="it-IT"/>
              </w:rPr>
              <w:t xml:space="preserve"> sociali</w:t>
            </w:r>
            <w:r w:rsidRPr="0070655A">
              <w:rPr>
                <w:rFonts w:ascii="Calibri" w:eastAsia="Times New Roman" w:hAnsi="Calibri" w:cs="Times New Roman"/>
                <w:lang w:eastAsia="it-IT"/>
              </w:rPr>
              <w:t xml:space="preserve"> (taglio cuneo fiscale sul lavoro)</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-110,7</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-113,3</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-118,1</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227AE0" w:rsidP="00227AE0">
            <w:pPr>
              <w:spacing w:after="0" w:line="240" w:lineRule="auto"/>
              <w:rPr>
                <w:rFonts w:ascii="Calibri" w:eastAsia="Times New Roman" w:hAnsi="Calibri" w:cs="Times New Roman"/>
                <w:iCs/>
                <w:lang w:eastAsia="it-IT"/>
              </w:rPr>
            </w:pPr>
            <w:r w:rsidRPr="0070655A">
              <w:rPr>
                <w:rFonts w:ascii="Calibri" w:eastAsia="Times New Roman" w:hAnsi="Calibri" w:cs="Times New Roman"/>
                <w:iCs/>
                <w:lang w:eastAsia="it-IT"/>
              </w:rPr>
              <w:t xml:space="preserve">Eliminazione </w:t>
            </w:r>
            <w:r w:rsidR="002D5F27">
              <w:rPr>
                <w:rFonts w:ascii="Calibri" w:eastAsia="Times New Roman" w:hAnsi="Calibri" w:cs="Times New Roman"/>
                <w:iCs/>
                <w:lang w:eastAsia="it-IT"/>
              </w:rPr>
              <w:t>IRAP</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-25,0</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-26,0</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-27,0</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5802FC" w:rsidP="00227AE0">
            <w:pPr>
              <w:spacing w:after="0" w:line="240" w:lineRule="auto"/>
              <w:rPr>
                <w:rFonts w:ascii="Calibri" w:eastAsia="Times New Roman" w:hAnsi="Calibri" w:cs="Times New Roman"/>
                <w:iCs/>
                <w:lang w:eastAsia="it-IT"/>
              </w:rPr>
            </w:pPr>
            <w:r w:rsidRPr="0070655A">
              <w:rPr>
                <w:rFonts w:ascii="Calibri" w:eastAsia="Times New Roman" w:hAnsi="Calibri" w:cs="Times New Roman"/>
                <w:iCs/>
                <w:lang w:eastAsia="it-IT"/>
              </w:rPr>
              <w:t>Introduzione Imposta</w:t>
            </w:r>
            <w:r w:rsidR="00227AE0" w:rsidRPr="0070655A">
              <w:rPr>
                <w:rFonts w:ascii="Calibri" w:eastAsia="Times New Roman" w:hAnsi="Calibri" w:cs="Times New Roman"/>
                <w:iCs/>
                <w:lang w:eastAsia="it-IT"/>
              </w:rPr>
              <w:t xml:space="preserve"> per il welfare</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143,2</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148,7</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iCs/>
                <w:lang w:eastAsia="it-IT"/>
              </w:rPr>
            </w:pPr>
            <w:r w:rsidRPr="0070655A">
              <w:rPr>
                <w:rFonts w:ascii="Calibri" w:eastAsia="Times New Roman" w:hAnsi="Calibri" w:cs="Times New Roman"/>
                <w:iCs/>
                <w:lang w:eastAsia="it-IT"/>
              </w:rPr>
              <w:t>154,6</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04604B" w:rsidP="00227AE0">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Incremento della spesa per investimenti</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-5,0</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-10,0</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-15,0</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227AE0" w:rsidP="00227AE0">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Contrasto all'evasione</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30,0</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30,0</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30,0</w:t>
            </w:r>
          </w:p>
        </w:tc>
      </w:tr>
      <w:tr w:rsidR="001B6EFF" w:rsidRPr="0070655A" w:rsidTr="00533A0E">
        <w:trPr>
          <w:trHeight w:val="290"/>
          <w:jc w:val="center"/>
        </w:trPr>
        <w:tc>
          <w:tcPr>
            <w:tcW w:w="5949" w:type="dxa"/>
            <w:tcBorders>
              <w:top w:val="nil"/>
              <w:left w:val="single" w:sz="4" w:space="0" w:color="auto"/>
              <w:bottom w:val="nil"/>
              <w:right w:val="nil"/>
            </w:tcBorders>
            <w:shd w:val="clear" w:color="auto" w:fill="auto"/>
            <w:noWrap/>
            <w:vAlign w:val="bottom"/>
            <w:hideMark/>
          </w:tcPr>
          <w:p w:rsidR="00227AE0" w:rsidRPr="0070655A" w:rsidRDefault="005802FC" w:rsidP="005802FC">
            <w:pPr>
              <w:spacing w:after="0" w:line="240" w:lineRule="auto"/>
              <w:rPr>
                <w:rFonts w:ascii="Calibri" w:eastAsia="Times New Roman" w:hAnsi="Calibri" w:cs="Times New Roman"/>
                <w:lang w:eastAsia="it-IT"/>
              </w:rPr>
            </w:pPr>
            <w:r w:rsidRPr="0070655A">
              <w:rPr>
                <w:rFonts w:ascii="Calibri" w:eastAsia="Times New Roman" w:hAnsi="Calibri" w:cs="Times New Roman"/>
                <w:lang w:eastAsia="it-IT"/>
              </w:rPr>
              <w:t>Abolizione permanente delle clausole</w:t>
            </w:r>
            <w:r w:rsidR="00227AE0" w:rsidRPr="0070655A">
              <w:rPr>
                <w:rFonts w:ascii="Calibri" w:eastAsia="Times New Roman" w:hAnsi="Calibri" w:cs="Times New Roman"/>
                <w:lang w:eastAsia="it-IT"/>
              </w:rPr>
              <w:t xml:space="preserve"> di salvaguardia</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-12,5</w:t>
            </w:r>
          </w:p>
        </w:tc>
        <w:tc>
          <w:tcPr>
            <w:tcW w:w="1100" w:type="dxa"/>
            <w:tcBorders>
              <w:top w:val="nil"/>
              <w:left w:val="nil"/>
              <w:bottom w:val="nil"/>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-19,2</w:t>
            </w:r>
          </w:p>
        </w:tc>
        <w:tc>
          <w:tcPr>
            <w:tcW w:w="1100" w:type="dxa"/>
            <w:tcBorders>
              <w:top w:val="nil"/>
              <w:left w:val="nil"/>
              <w:bottom w:val="nil"/>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lang w:eastAsia="it-IT"/>
              </w:rPr>
            </w:pPr>
            <w:r w:rsidRPr="0070655A">
              <w:rPr>
                <w:rFonts w:ascii="Calibri" w:eastAsia="Times New Roman" w:hAnsi="Calibri" w:cs="Times New Roman"/>
                <w:lang w:eastAsia="it-IT"/>
              </w:rPr>
              <w:t>-19,2</w:t>
            </w:r>
          </w:p>
        </w:tc>
      </w:tr>
      <w:tr w:rsidR="001B6EFF" w:rsidRPr="0070655A" w:rsidTr="00533A0E">
        <w:trPr>
          <w:trHeight w:val="290"/>
          <w:jc w:val="center"/>
        </w:trPr>
        <w:tc>
          <w:tcPr>
            <w:tcW w:w="5949" w:type="dxa"/>
            <w:tcBorders>
              <w:top w:val="nil"/>
              <w:left w:val="single" w:sz="4" w:space="0" w:color="auto"/>
              <w:bottom w:val="single" w:sz="4" w:space="0" w:color="auto"/>
              <w:right w:val="nil"/>
            </w:tcBorders>
            <w:shd w:val="clear" w:color="auto" w:fill="auto"/>
            <w:noWrap/>
            <w:vAlign w:val="bottom"/>
            <w:hideMark/>
          </w:tcPr>
          <w:p w:rsidR="00227AE0" w:rsidRPr="0070655A" w:rsidRDefault="00227AE0" w:rsidP="00227AE0">
            <w:pPr>
              <w:spacing w:after="0" w:line="240" w:lineRule="auto"/>
              <w:rPr>
                <w:rFonts w:ascii="Calibri" w:eastAsia="Times New Roman" w:hAnsi="Calibri" w:cs="Times New Roman"/>
                <w:b/>
                <w:lang w:eastAsia="it-IT"/>
              </w:rPr>
            </w:pPr>
            <w:r w:rsidRPr="0070655A">
              <w:rPr>
                <w:rFonts w:ascii="Calibri" w:eastAsia="Times New Roman" w:hAnsi="Calibri" w:cs="Times New Roman"/>
                <w:b/>
                <w:lang w:eastAsia="it-IT"/>
              </w:rPr>
              <w:t>Totale manovra</w:t>
            </w:r>
          </w:p>
        </w:tc>
        <w:tc>
          <w:tcPr>
            <w:tcW w:w="1100" w:type="dxa"/>
            <w:tcBorders>
              <w:top w:val="nil"/>
              <w:left w:val="nil"/>
              <w:bottom w:val="single" w:sz="4" w:space="0" w:color="auto"/>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b/>
                <w:lang w:eastAsia="it-IT"/>
              </w:rPr>
            </w:pPr>
            <w:r w:rsidRPr="0070655A">
              <w:rPr>
                <w:rFonts w:ascii="Calibri" w:eastAsia="Times New Roman" w:hAnsi="Calibri" w:cs="Times New Roman"/>
                <w:b/>
                <w:lang w:eastAsia="it-IT"/>
              </w:rPr>
              <w:t>-10,0</w:t>
            </w:r>
          </w:p>
        </w:tc>
        <w:tc>
          <w:tcPr>
            <w:tcW w:w="1100" w:type="dxa"/>
            <w:tcBorders>
              <w:top w:val="nil"/>
              <w:left w:val="nil"/>
              <w:bottom w:val="single" w:sz="4" w:space="0" w:color="auto"/>
              <w:right w:val="nil"/>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b/>
                <w:lang w:eastAsia="it-IT"/>
              </w:rPr>
            </w:pPr>
            <w:r w:rsidRPr="0070655A">
              <w:rPr>
                <w:rFonts w:ascii="Calibri" w:eastAsia="Times New Roman" w:hAnsi="Calibri" w:cs="Times New Roman"/>
                <w:b/>
                <w:lang w:eastAsia="it-IT"/>
              </w:rPr>
              <w:t>-18,6</w:t>
            </w:r>
          </w:p>
        </w:tc>
        <w:tc>
          <w:tcPr>
            <w:tcW w:w="1100" w:type="dxa"/>
            <w:tcBorders>
              <w:top w:val="nil"/>
              <w:left w:val="nil"/>
              <w:bottom w:val="single" w:sz="4" w:space="0" w:color="auto"/>
              <w:right w:val="single" w:sz="4" w:space="0" w:color="auto"/>
            </w:tcBorders>
            <w:shd w:val="clear" w:color="auto" w:fill="auto"/>
            <w:noWrap/>
            <w:vAlign w:val="bottom"/>
            <w:hideMark/>
          </w:tcPr>
          <w:p w:rsidR="00227AE0" w:rsidRPr="0070655A" w:rsidRDefault="00227AE0" w:rsidP="00227AE0">
            <w:pPr>
              <w:spacing w:after="0" w:line="240" w:lineRule="auto"/>
              <w:jc w:val="right"/>
              <w:rPr>
                <w:rFonts w:ascii="Calibri" w:eastAsia="Times New Roman" w:hAnsi="Calibri" w:cs="Times New Roman"/>
                <w:b/>
                <w:lang w:eastAsia="it-IT"/>
              </w:rPr>
            </w:pPr>
            <w:r w:rsidRPr="0070655A">
              <w:rPr>
                <w:rFonts w:ascii="Calibri" w:eastAsia="Times New Roman" w:hAnsi="Calibri" w:cs="Times New Roman"/>
                <w:b/>
                <w:lang w:eastAsia="it-IT"/>
              </w:rPr>
              <w:t>-25,3</w:t>
            </w:r>
          </w:p>
        </w:tc>
      </w:tr>
    </w:tbl>
    <w:p w:rsidR="00372EFB" w:rsidRPr="0070655A" w:rsidRDefault="00372EFB" w:rsidP="009A10E2">
      <w:pPr>
        <w:spacing w:before="120"/>
        <w:jc w:val="both"/>
      </w:pPr>
      <w:r w:rsidRPr="0070655A">
        <w:t>A saldo, la proposta prevede un maggior deficit</w:t>
      </w:r>
      <w:r w:rsidR="00BF45FB" w:rsidRPr="0070655A">
        <w:t xml:space="preserve"> ex ante</w:t>
      </w:r>
      <w:r w:rsidRPr="0070655A">
        <w:t xml:space="preserve"> di 10 miliardi di euro per il primo</w:t>
      </w:r>
      <w:r w:rsidR="007C68CE" w:rsidRPr="0070655A">
        <w:t xml:space="preserve"> anno</w:t>
      </w:r>
      <w:r w:rsidRPr="0070655A">
        <w:t>, di 18,6 miliardi per il secondo anno e di 25,3 miliardi per il terzo. Nel prossimo paragrafo vedremo</w:t>
      </w:r>
      <w:r w:rsidR="00B90653" w:rsidRPr="0070655A">
        <w:t xml:space="preserve"> tuttavia</w:t>
      </w:r>
      <w:r w:rsidRPr="0070655A">
        <w:t xml:space="preserve"> come </w:t>
      </w:r>
      <w:r w:rsidR="00836523" w:rsidRPr="0070655A">
        <w:t>le nuove sc</w:t>
      </w:r>
      <w:r w:rsidRPr="0070655A">
        <w:t xml:space="preserve">operture </w:t>
      </w:r>
      <w:r w:rsidR="00836523" w:rsidRPr="0070655A">
        <w:t>dovute a</w:t>
      </w:r>
      <w:r w:rsidRPr="0070655A">
        <w:t xml:space="preserve">l maggior indebitamento </w:t>
      </w:r>
      <w:r w:rsidR="00836523" w:rsidRPr="0070655A">
        <w:t xml:space="preserve">indotto dalla proposta </w:t>
      </w:r>
      <w:r w:rsidRPr="0070655A">
        <w:t>non mettano mai a repentaglio la stabilità dei conti pubblici e come</w:t>
      </w:r>
      <w:r w:rsidR="00836523" w:rsidRPr="0070655A">
        <w:t xml:space="preserve"> le maggiori risorse per la copertura del nuovo deficit</w:t>
      </w:r>
      <w:r w:rsidRPr="0070655A">
        <w:t xml:space="preserve"> verranno </w:t>
      </w:r>
      <w:r w:rsidR="00836523" w:rsidRPr="0070655A">
        <w:t xml:space="preserve">sempre garantite </w:t>
      </w:r>
      <w:r w:rsidRPr="0070655A">
        <w:t>dalla maggiore crescita indotta dalla manovra.</w:t>
      </w:r>
    </w:p>
    <w:p w:rsidR="00471AC2" w:rsidRPr="0070655A" w:rsidRDefault="009C39DC" w:rsidP="00FD264B">
      <w:pPr>
        <w:pStyle w:val="Titolo1"/>
        <w:rPr>
          <w:color w:val="auto"/>
        </w:rPr>
      </w:pPr>
      <w:r w:rsidRPr="0070655A">
        <w:rPr>
          <w:color w:val="auto"/>
        </w:rPr>
        <w:lastRenderedPageBreak/>
        <w:t>Analisi degli impatti macroeconomici</w:t>
      </w:r>
      <w:r w:rsidR="00FD264B" w:rsidRPr="0070655A">
        <w:rPr>
          <w:color w:val="auto"/>
        </w:rPr>
        <w:t xml:space="preserve"> del programma</w:t>
      </w:r>
    </w:p>
    <w:p w:rsidR="001B017B" w:rsidRPr="0070655A" w:rsidRDefault="001B017B" w:rsidP="001B017B">
      <w:pPr>
        <w:pStyle w:val="Titolo2"/>
        <w:rPr>
          <w:color w:val="auto"/>
        </w:rPr>
      </w:pPr>
      <w:r w:rsidRPr="0070655A">
        <w:rPr>
          <w:color w:val="auto"/>
        </w:rPr>
        <w:t xml:space="preserve">Gli effetti sulla </w:t>
      </w:r>
      <w:r w:rsidR="004E20A4" w:rsidRPr="0070655A">
        <w:rPr>
          <w:color w:val="auto"/>
        </w:rPr>
        <w:t>crescita</w:t>
      </w:r>
    </w:p>
    <w:p w:rsidR="00FD264B" w:rsidRPr="0070655A" w:rsidRDefault="00B21CC1" w:rsidP="00B21CC1">
      <w:pPr>
        <w:jc w:val="both"/>
      </w:pPr>
      <w:r w:rsidRPr="0070655A">
        <w:t>La tab.2 espone gli effetti attesi della manovra sulla dinamica del PIL italiano per il triennio 2019-2021. Lo scenario base scelto per la simulazione è quello tendenziale riportato dall’ultimo DEF pubblicato dal Governo</w:t>
      </w:r>
      <w:r w:rsidR="00B25110" w:rsidRPr="0070655A">
        <w:t xml:space="preserve"> aggiornato in base alle ultime previsioni Istat</w:t>
      </w:r>
      <w:r w:rsidRPr="0070655A">
        <w:t xml:space="preserve">. Per stimare gli impatti </w:t>
      </w:r>
      <w:r w:rsidR="00856BA9" w:rsidRPr="0070655A">
        <w:t>di breve e medio periodo</w:t>
      </w:r>
      <w:r w:rsidRPr="0070655A">
        <w:t xml:space="preserve"> delle </w:t>
      </w:r>
      <w:r w:rsidR="0008000F" w:rsidRPr="0070655A">
        <w:t>misure contenute nella manovra</w:t>
      </w:r>
      <w:r w:rsidRPr="0070655A">
        <w:t xml:space="preserve">, </w:t>
      </w:r>
      <w:r w:rsidR="0041293F" w:rsidRPr="0070655A">
        <w:t>il</w:t>
      </w:r>
      <w:r w:rsidRPr="0070655A">
        <w:t xml:space="preserve"> modello macroeconomico</w:t>
      </w:r>
      <w:r w:rsidR="0041293F" w:rsidRPr="0070655A">
        <w:t xml:space="preserve"> </w:t>
      </w:r>
      <w:r w:rsidR="002D5F27">
        <w:t>NENS</w:t>
      </w:r>
      <w:r w:rsidRPr="0070655A">
        <w:t xml:space="preserve"> è stato calibrato in modo da ripro</w:t>
      </w:r>
      <w:r w:rsidR="0041293F" w:rsidRPr="0070655A">
        <w:t>du</w:t>
      </w:r>
      <w:r w:rsidRPr="0070655A">
        <w:t xml:space="preserve">rre </w:t>
      </w:r>
      <w:r w:rsidR="0041293F" w:rsidRPr="0070655A">
        <w:t xml:space="preserve">dei valori per i principali </w:t>
      </w:r>
      <w:r w:rsidRPr="0070655A">
        <w:t xml:space="preserve">moltiplicatori molto simili a quelli del modello ITEM </w:t>
      </w:r>
      <w:r w:rsidR="0041293F" w:rsidRPr="0070655A">
        <w:t>de</w:t>
      </w:r>
      <w:r w:rsidR="00903104" w:rsidRPr="0070655A">
        <w:t>l MEF</w:t>
      </w:r>
      <w:r w:rsidR="00BF45FB" w:rsidRPr="0070655A">
        <w:t xml:space="preserve"> (cfr. l’Appendice</w:t>
      </w:r>
      <w:r w:rsidR="00BC4ECC" w:rsidRPr="0070655A">
        <w:t xml:space="preserve"> II</w:t>
      </w:r>
      <w:r w:rsidR="00BF45FB" w:rsidRPr="0070655A">
        <w:t xml:space="preserve"> a fine testo con i valori dei moltiplicatori)</w:t>
      </w:r>
    </w:p>
    <w:p w:rsidR="00526B49" w:rsidRPr="0070655A" w:rsidRDefault="00526B49" w:rsidP="00B21CC1">
      <w:pPr>
        <w:jc w:val="both"/>
      </w:pPr>
      <w:r w:rsidRPr="0070655A">
        <w:t>Nel complesso, la tabella evidenzia un sensibile innalzamento del sentiero di espansione del prodotto italiano quantifica</w:t>
      </w:r>
      <w:r w:rsidR="000E62C6" w:rsidRPr="0070655A">
        <w:t>bile, a consuntivo, in circa 3,1</w:t>
      </w:r>
      <w:r w:rsidRPr="0070655A">
        <w:t xml:space="preserve"> punti percentuali in tre anni. Gran parte della maggiore crescita è attribuibile alle misure espansive contenute nel taglio del cuneo fiscale e nell’abolizione dell’</w:t>
      </w:r>
      <w:r w:rsidR="002D5F27">
        <w:t>IRAP</w:t>
      </w:r>
      <w:r w:rsidRPr="0070655A">
        <w:t>, mentre la maggiore fonte di contrazione contenuta nella manovra proviene dall</w:t>
      </w:r>
      <w:r w:rsidR="0070676E" w:rsidRPr="0070655A">
        <w:t xml:space="preserve">’introduzione dell’imposta sul welfare. </w:t>
      </w:r>
      <w:r w:rsidR="00C06D07" w:rsidRPr="0070655A">
        <w:t>Tuttavia, la somma degli impatti innescati da queste misure è sempre positivo</w:t>
      </w:r>
      <w:r w:rsidR="0041293F" w:rsidRPr="0070655A">
        <w:t>,</w:t>
      </w:r>
      <w:r w:rsidR="00C06D07" w:rsidRPr="0070655A">
        <w:t xml:space="preserve"> e dunque espansivo in termini di crescita netta del Pil.</w:t>
      </w:r>
    </w:p>
    <w:p w:rsidR="00C06D07" w:rsidRPr="0070655A" w:rsidRDefault="00C06D07" w:rsidP="00B21CC1">
      <w:pPr>
        <w:jc w:val="both"/>
      </w:pPr>
      <w:r w:rsidRPr="0070655A">
        <w:t>Il contributo della maggiore spesa per investimenti sulla dinamica del PIL è anch’esso positivo e quantificabile, nell</w:t>
      </w:r>
      <w:r w:rsidR="000E62C6" w:rsidRPr="0070655A">
        <w:t>a media del triennio, in circa 6</w:t>
      </w:r>
      <w:r w:rsidRPr="0070655A">
        <w:t xml:space="preserve">/10 di punto </w:t>
      </w:r>
      <w:r w:rsidR="00372EFB" w:rsidRPr="0070655A">
        <w:t>grazie all’elevato effetto moltiplicativo che caratterizza questa tipologia di spesa.</w:t>
      </w:r>
    </w:p>
    <w:p w:rsidR="00903104" w:rsidRDefault="00903104" w:rsidP="001951D9">
      <w:pPr>
        <w:pStyle w:val="Didascalia"/>
        <w:keepNext/>
        <w:spacing w:before="240"/>
        <w:jc w:val="both"/>
        <w:rPr>
          <w:b/>
          <w:i w:val="0"/>
          <w:color w:val="auto"/>
        </w:rPr>
      </w:pPr>
      <w:r w:rsidRPr="0070655A">
        <w:rPr>
          <w:b/>
          <w:i w:val="0"/>
          <w:color w:val="auto"/>
        </w:rPr>
        <w:t xml:space="preserve">Tabella </w:t>
      </w:r>
      <w:r w:rsidR="005A731E" w:rsidRPr="0070655A">
        <w:rPr>
          <w:b/>
          <w:i w:val="0"/>
          <w:color w:val="auto"/>
        </w:rPr>
        <w:fldChar w:fldCharType="begin"/>
      </w:r>
      <w:r w:rsidR="005A731E" w:rsidRPr="0070655A">
        <w:rPr>
          <w:b/>
          <w:i w:val="0"/>
          <w:color w:val="auto"/>
        </w:rPr>
        <w:instrText xml:space="preserve"> SEQ Tabella \* ARABIC </w:instrText>
      </w:r>
      <w:r w:rsidR="005A731E" w:rsidRPr="0070655A">
        <w:rPr>
          <w:b/>
          <w:i w:val="0"/>
          <w:color w:val="auto"/>
        </w:rPr>
        <w:fldChar w:fldCharType="separate"/>
      </w:r>
      <w:r w:rsidR="00DA0E8A" w:rsidRPr="0070655A">
        <w:rPr>
          <w:b/>
          <w:i w:val="0"/>
          <w:noProof/>
          <w:color w:val="auto"/>
        </w:rPr>
        <w:t>2</w:t>
      </w:r>
      <w:r w:rsidR="005A731E" w:rsidRPr="0070655A">
        <w:rPr>
          <w:b/>
          <w:i w:val="0"/>
          <w:color w:val="auto"/>
        </w:rPr>
        <w:fldChar w:fldCharType="end"/>
      </w:r>
      <w:r w:rsidRPr="0070655A">
        <w:rPr>
          <w:b/>
          <w:i w:val="0"/>
          <w:color w:val="auto"/>
        </w:rPr>
        <w:t xml:space="preserve">: Effetti della manovra sulla crescita reale del PIL italiano – Fonte: elaborazioni </w:t>
      </w:r>
      <w:r w:rsidR="002D5F27">
        <w:rPr>
          <w:b/>
          <w:i w:val="0"/>
          <w:color w:val="auto"/>
        </w:rPr>
        <w:t>NENS</w:t>
      </w:r>
      <w:r w:rsidR="001951D9">
        <w:rPr>
          <w:b/>
          <w:i w:val="0"/>
          <w:color w:val="auto"/>
        </w:rPr>
        <w:t>. Eventuali non corrispondenze sono dovute agli arrotondamenti</w:t>
      </w:r>
    </w:p>
    <w:tbl>
      <w:tblPr>
        <w:tblW w:w="5000" w:type="pct"/>
        <w:tblCellMar>
          <w:left w:w="70" w:type="dxa"/>
          <w:right w:w="70" w:type="dxa"/>
        </w:tblCellMar>
        <w:tblLook w:val="04A0" w:firstRow="1" w:lastRow="0" w:firstColumn="1" w:lastColumn="0" w:noHBand="0" w:noVBand="1"/>
      </w:tblPr>
      <w:tblGrid>
        <w:gridCol w:w="6517"/>
        <w:gridCol w:w="664"/>
        <w:gridCol w:w="839"/>
        <w:gridCol w:w="664"/>
        <w:gridCol w:w="662"/>
      </w:tblGrid>
      <w:tr w:rsidR="00952E77" w:rsidRPr="0070655A" w:rsidTr="00952E77">
        <w:trPr>
          <w:trHeight w:val="290"/>
        </w:trPr>
        <w:tc>
          <w:tcPr>
            <w:tcW w:w="3487" w:type="pct"/>
            <w:tcBorders>
              <w:top w:val="single" w:sz="4" w:space="0" w:color="auto"/>
              <w:left w:val="single" w:sz="4" w:space="0" w:color="auto"/>
              <w:bottom w:val="nil"/>
              <w:right w:val="nil"/>
            </w:tcBorders>
            <w:shd w:val="clear" w:color="auto" w:fill="D9D9D9" w:themeFill="background1" w:themeFillShade="D9"/>
            <w:noWrap/>
            <w:vAlign w:val="bottom"/>
            <w:hideMark/>
          </w:tcPr>
          <w:p w:rsidR="00952E77" w:rsidRPr="0070655A" w:rsidRDefault="00952E77" w:rsidP="005F40E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355" w:type="pct"/>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952E77" w:rsidRPr="0070655A" w:rsidRDefault="00952E77" w:rsidP="005F40E0">
            <w:pPr>
              <w:spacing w:after="0" w:line="240" w:lineRule="auto"/>
              <w:jc w:val="center"/>
              <w:rPr>
                <w:rFonts w:ascii="Calibri" w:eastAsia="Times New Roman" w:hAnsi="Calibri" w:cs="Calibri"/>
                <w:b/>
                <w:bCs/>
                <w:lang w:eastAsia="it-IT"/>
              </w:rPr>
            </w:pPr>
            <w:r w:rsidRPr="0070655A">
              <w:rPr>
                <w:rFonts w:ascii="Calibri" w:eastAsia="Times New Roman" w:hAnsi="Calibri" w:cs="Calibri"/>
                <w:b/>
                <w:bCs/>
                <w:lang w:eastAsia="it-IT"/>
              </w:rPr>
              <w:t>2018</w:t>
            </w:r>
          </w:p>
        </w:tc>
        <w:tc>
          <w:tcPr>
            <w:tcW w:w="449" w:type="pct"/>
            <w:tcBorders>
              <w:top w:val="single" w:sz="4" w:space="0" w:color="auto"/>
              <w:left w:val="nil"/>
              <w:bottom w:val="nil"/>
              <w:right w:val="nil"/>
            </w:tcBorders>
            <w:shd w:val="clear" w:color="auto" w:fill="D9D9D9" w:themeFill="background1" w:themeFillShade="D9"/>
            <w:noWrap/>
            <w:vAlign w:val="bottom"/>
            <w:hideMark/>
          </w:tcPr>
          <w:p w:rsidR="00952E77" w:rsidRPr="0070655A" w:rsidRDefault="00952E77" w:rsidP="005F40E0">
            <w:pPr>
              <w:spacing w:after="0" w:line="240" w:lineRule="auto"/>
              <w:jc w:val="center"/>
              <w:rPr>
                <w:rFonts w:ascii="Calibri" w:eastAsia="Times New Roman" w:hAnsi="Calibri" w:cs="Calibri"/>
                <w:b/>
                <w:bCs/>
                <w:lang w:eastAsia="it-IT"/>
              </w:rPr>
            </w:pPr>
            <w:r w:rsidRPr="0070655A">
              <w:rPr>
                <w:rFonts w:ascii="Calibri" w:eastAsia="Times New Roman" w:hAnsi="Calibri" w:cs="Calibri"/>
                <w:b/>
                <w:bCs/>
                <w:lang w:eastAsia="it-IT"/>
              </w:rPr>
              <w:t xml:space="preserve"> 2019 </w:t>
            </w:r>
          </w:p>
        </w:tc>
        <w:tc>
          <w:tcPr>
            <w:tcW w:w="355" w:type="pct"/>
            <w:tcBorders>
              <w:top w:val="single" w:sz="4" w:space="0" w:color="auto"/>
              <w:left w:val="nil"/>
              <w:bottom w:val="nil"/>
              <w:right w:val="nil"/>
            </w:tcBorders>
            <w:shd w:val="clear" w:color="auto" w:fill="D9D9D9" w:themeFill="background1" w:themeFillShade="D9"/>
            <w:noWrap/>
            <w:vAlign w:val="bottom"/>
            <w:hideMark/>
          </w:tcPr>
          <w:p w:rsidR="00952E77" w:rsidRPr="0070655A" w:rsidRDefault="00952E77" w:rsidP="005F40E0">
            <w:pPr>
              <w:spacing w:after="0" w:line="240" w:lineRule="auto"/>
              <w:jc w:val="center"/>
              <w:rPr>
                <w:rFonts w:ascii="Calibri" w:eastAsia="Times New Roman" w:hAnsi="Calibri" w:cs="Calibri"/>
                <w:b/>
                <w:bCs/>
                <w:lang w:eastAsia="it-IT"/>
              </w:rPr>
            </w:pPr>
            <w:r w:rsidRPr="0070655A">
              <w:rPr>
                <w:rFonts w:ascii="Calibri" w:eastAsia="Times New Roman" w:hAnsi="Calibri" w:cs="Calibri"/>
                <w:b/>
                <w:bCs/>
                <w:lang w:eastAsia="it-IT"/>
              </w:rPr>
              <w:t xml:space="preserve"> 2020 </w:t>
            </w:r>
          </w:p>
        </w:tc>
        <w:tc>
          <w:tcPr>
            <w:tcW w:w="355" w:type="pct"/>
            <w:tcBorders>
              <w:top w:val="single" w:sz="4" w:space="0" w:color="auto"/>
              <w:left w:val="nil"/>
              <w:bottom w:val="nil"/>
              <w:right w:val="single" w:sz="4" w:space="0" w:color="auto"/>
            </w:tcBorders>
            <w:shd w:val="clear" w:color="auto" w:fill="D9D9D9" w:themeFill="background1" w:themeFillShade="D9"/>
            <w:noWrap/>
            <w:vAlign w:val="bottom"/>
            <w:hideMark/>
          </w:tcPr>
          <w:p w:rsidR="00952E77" w:rsidRPr="0070655A" w:rsidRDefault="00952E77" w:rsidP="005F40E0">
            <w:pPr>
              <w:spacing w:after="0" w:line="240" w:lineRule="auto"/>
              <w:jc w:val="center"/>
              <w:rPr>
                <w:rFonts w:ascii="Calibri" w:eastAsia="Times New Roman" w:hAnsi="Calibri" w:cs="Calibri"/>
                <w:b/>
                <w:bCs/>
                <w:lang w:eastAsia="it-IT"/>
              </w:rPr>
            </w:pPr>
            <w:r w:rsidRPr="0070655A">
              <w:rPr>
                <w:rFonts w:ascii="Calibri" w:eastAsia="Times New Roman" w:hAnsi="Calibri" w:cs="Calibri"/>
                <w:b/>
                <w:bCs/>
                <w:lang w:eastAsia="it-IT"/>
              </w:rPr>
              <w:t xml:space="preserve"> 2021 </w:t>
            </w:r>
          </w:p>
        </w:tc>
      </w:tr>
      <w:tr w:rsidR="00952E77" w:rsidRPr="0070655A" w:rsidTr="00952E77">
        <w:trPr>
          <w:trHeight w:val="290"/>
        </w:trPr>
        <w:tc>
          <w:tcPr>
            <w:tcW w:w="3487" w:type="pct"/>
            <w:tcBorders>
              <w:top w:val="nil"/>
              <w:left w:val="single" w:sz="4" w:space="0" w:color="auto"/>
              <w:bottom w:val="nil"/>
              <w:right w:val="nil"/>
            </w:tcBorders>
            <w:shd w:val="clear" w:color="auto" w:fill="auto"/>
            <w:noWrap/>
            <w:vAlign w:val="bottom"/>
            <w:hideMark/>
          </w:tcPr>
          <w:p w:rsidR="00952E77" w:rsidRPr="0070655A" w:rsidRDefault="00952E77" w:rsidP="005F40E0">
            <w:pPr>
              <w:spacing w:after="0" w:line="240" w:lineRule="auto"/>
              <w:rPr>
                <w:rFonts w:ascii="Calibri" w:eastAsia="Times New Roman" w:hAnsi="Calibri" w:cs="Calibri"/>
                <w:lang w:eastAsia="it-IT"/>
              </w:rPr>
            </w:pPr>
            <w:r w:rsidRPr="0070655A">
              <w:rPr>
                <w:rFonts w:ascii="Calibri" w:eastAsia="Times New Roman" w:hAnsi="Calibri" w:cs="Calibri"/>
                <w:lang w:eastAsia="it-IT"/>
              </w:rPr>
              <w:t xml:space="preserve">Crescita reale nello scenario base </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xml:space="preserve">1,2 </w:t>
            </w:r>
          </w:p>
        </w:tc>
        <w:tc>
          <w:tcPr>
            <w:tcW w:w="449"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xml:space="preserve">1,1 </w:t>
            </w:r>
          </w:p>
        </w:tc>
        <w:tc>
          <w:tcPr>
            <w:tcW w:w="355"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xml:space="preserve">1,0 </w:t>
            </w:r>
          </w:p>
        </w:tc>
        <w:tc>
          <w:tcPr>
            <w:tcW w:w="355" w:type="pct"/>
            <w:tcBorders>
              <w:top w:val="nil"/>
              <w:left w:val="nil"/>
              <w:bottom w:val="nil"/>
              <w:right w:val="single" w:sz="4" w:space="0" w:color="auto"/>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xml:space="preserve">0,9 </w:t>
            </w:r>
          </w:p>
        </w:tc>
      </w:tr>
      <w:tr w:rsidR="00952E77" w:rsidRPr="0070655A" w:rsidTr="00952E77">
        <w:trPr>
          <w:trHeight w:val="290"/>
        </w:trPr>
        <w:tc>
          <w:tcPr>
            <w:tcW w:w="3487" w:type="pct"/>
            <w:tcBorders>
              <w:top w:val="nil"/>
              <w:left w:val="single" w:sz="4" w:space="0" w:color="auto"/>
              <w:bottom w:val="nil"/>
              <w:right w:val="nil"/>
            </w:tcBorders>
            <w:shd w:val="clear" w:color="auto" w:fill="auto"/>
            <w:noWrap/>
            <w:vAlign w:val="bottom"/>
            <w:hideMark/>
          </w:tcPr>
          <w:p w:rsidR="00952E77" w:rsidRPr="0070655A" w:rsidRDefault="00952E77" w:rsidP="005F40E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c>
          <w:tcPr>
            <w:tcW w:w="449"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p>
        </w:tc>
        <w:tc>
          <w:tcPr>
            <w:tcW w:w="355"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Times New Roman" w:eastAsia="Times New Roman" w:hAnsi="Times New Roman" w:cs="Times New Roman"/>
                <w:sz w:val="20"/>
                <w:szCs w:val="20"/>
                <w:lang w:eastAsia="it-IT"/>
              </w:rPr>
            </w:pPr>
          </w:p>
        </w:tc>
        <w:tc>
          <w:tcPr>
            <w:tcW w:w="355" w:type="pct"/>
            <w:tcBorders>
              <w:top w:val="nil"/>
              <w:left w:val="nil"/>
              <w:bottom w:val="nil"/>
              <w:right w:val="single" w:sz="4" w:space="0" w:color="auto"/>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r>
      <w:tr w:rsidR="00952E77" w:rsidRPr="0070655A" w:rsidTr="00952E77">
        <w:trPr>
          <w:trHeight w:val="290"/>
        </w:trPr>
        <w:tc>
          <w:tcPr>
            <w:tcW w:w="3487" w:type="pct"/>
            <w:tcBorders>
              <w:top w:val="nil"/>
              <w:left w:val="single" w:sz="4" w:space="0" w:color="auto"/>
              <w:bottom w:val="nil"/>
              <w:right w:val="nil"/>
            </w:tcBorders>
            <w:shd w:val="clear" w:color="auto" w:fill="auto"/>
            <w:noWrap/>
            <w:vAlign w:val="bottom"/>
            <w:hideMark/>
          </w:tcPr>
          <w:p w:rsidR="00952E77" w:rsidRPr="0070655A" w:rsidRDefault="001951D9" w:rsidP="005F40E0">
            <w:pPr>
              <w:spacing w:after="0" w:line="240" w:lineRule="auto"/>
              <w:rPr>
                <w:rFonts w:ascii="Calibri" w:eastAsia="Times New Roman" w:hAnsi="Calibri" w:cs="Calibri"/>
                <w:b/>
                <w:sz w:val="20"/>
                <w:lang w:eastAsia="it-IT"/>
              </w:rPr>
            </w:pPr>
            <w:r>
              <w:rPr>
                <w:rFonts w:ascii="Calibri" w:eastAsia="Times New Roman" w:hAnsi="Calibri" w:cs="Calibri"/>
                <w:b/>
                <w:sz w:val="20"/>
                <w:lang w:eastAsia="it-IT"/>
              </w:rPr>
              <w:t>C</w:t>
            </w:r>
            <w:r w:rsidR="000702A1">
              <w:rPr>
                <w:rFonts w:ascii="Calibri" w:eastAsia="Times New Roman" w:hAnsi="Calibri" w:cs="Calibri"/>
                <w:b/>
                <w:sz w:val="20"/>
                <w:lang w:eastAsia="it-IT"/>
              </w:rPr>
              <w:t xml:space="preserve">ontributo </w:t>
            </w:r>
            <w:r w:rsidR="00952E77" w:rsidRPr="0070655A">
              <w:rPr>
                <w:rFonts w:ascii="Calibri" w:eastAsia="Times New Roman" w:hAnsi="Calibri" w:cs="Calibri"/>
                <w:b/>
                <w:sz w:val="20"/>
                <w:lang w:eastAsia="it-IT"/>
              </w:rPr>
              <w:t>della manovra: (deviazione rispetto allo scenario base)</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70655A" w:rsidRDefault="00952E77" w:rsidP="005F40E0">
            <w:pPr>
              <w:spacing w:after="0" w:line="240" w:lineRule="auto"/>
              <w:jc w:val="right"/>
              <w:rPr>
                <w:rFonts w:ascii="Calibri" w:eastAsia="Times New Roman" w:hAnsi="Calibri" w:cs="Calibri"/>
                <w:b/>
                <w:sz w:val="20"/>
                <w:lang w:eastAsia="it-IT"/>
              </w:rPr>
            </w:pPr>
            <w:r w:rsidRPr="0070655A">
              <w:rPr>
                <w:rFonts w:ascii="Calibri" w:eastAsia="Times New Roman" w:hAnsi="Calibri" w:cs="Calibri"/>
                <w:b/>
                <w:sz w:val="20"/>
                <w:lang w:eastAsia="it-IT"/>
              </w:rPr>
              <w:t> </w:t>
            </w:r>
          </w:p>
        </w:tc>
        <w:tc>
          <w:tcPr>
            <w:tcW w:w="449"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sz w:val="20"/>
                <w:lang w:eastAsia="it-IT"/>
              </w:rPr>
            </w:pPr>
            <w:r w:rsidRPr="0070655A">
              <w:rPr>
                <w:rFonts w:ascii="Calibri" w:eastAsia="Times New Roman" w:hAnsi="Calibri" w:cs="Calibri"/>
                <w:b/>
                <w:sz w:val="20"/>
                <w:lang w:eastAsia="it-IT"/>
              </w:rPr>
              <w:t>0,8</w:t>
            </w:r>
          </w:p>
        </w:tc>
        <w:tc>
          <w:tcPr>
            <w:tcW w:w="355"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sz w:val="20"/>
                <w:lang w:eastAsia="it-IT"/>
              </w:rPr>
            </w:pPr>
            <w:r w:rsidRPr="0070655A">
              <w:rPr>
                <w:rFonts w:ascii="Calibri" w:eastAsia="Times New Roman" w:hAnsi="Calibri" w:cs="Calibri"/>
                <w:b/>
                <w:sz w:val="20"/>
                <w:lang w:eastAsia="it-IT"/>
              </w:rPr>
              <w:t>1,2</w:t>
            </w:r>
          </w:p>
        </w:tc>
        <w:tc>
          <w:tcPr>
            <w:tcW w:w="355" w:type="pct"/>
            <w:tcBorders>
              <w:top w:val="nil"/>
              <w:left w:val="nil"/>
              <w:bottom w:val="nil"/>
              <w:right w:val="single" w:sz="4" w:space="0" w:color="auto"/>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sz w:val="20"/>
                <w:lang w:eastAsia="it-IT"/>
              </w:rPr>
            </w:pPr>
            <w:r w:rsidRPr="0070655A">
              <w:rPr>
                <w:rFonts w:ascii="Calibri" w:eastAsia="Times New Roman" w:hAnsi="Calibri" w:cs="Calibri"/>
                <w:b/>
                <w:sz w:val="20"/>
                <w:lang w:eastAsia="it-IT"/>
              </w:rPr>
              <w:t>1,2</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Riforma IRPE</w:t>
            </w:r>
            <w:r w:rsidR="000D121A">
              <w:rPr>
                <w:rFonts w:ascii="Calibri" w:eastAsia="Times New Roman" w:hAnsi="Calibri" w:cs="Calibri"/>
                <w:i/>
                <w:iCs/>
                <w:lang w:eastAsia="it-IT"/>
              </w:rPr>
              <w:t>F</w:t>
            </w:r>
            <w:r w:rsidRPr="001951D9">
              <w:rPr>
                <w:rFonts w:ascii="Calibri" w:eastAsia="Times New Roman" w:hAnsi="Calibri" w:cs="Calibri"/>
                <w:i/>
                <w:iCs/>
                <w:lang w:eastAsia="it-IT"/>
              </w:rPr>
              <w:t xml:space="preserve"> e dell’assegno di famiglia</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0,2</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0,6</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0,8</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 xml:space="preserve">Riduzione </w:t>
            </w:r>
            <w:r w:rsidR="002D5F27" w:rsidRPr="001951D9">
              <w:rPr>
                <w:rFonts w:ascii="Calibri" w:eastAsia="Times New Roman" w:hAnsi="Calibri" w:cs="Calibri"/>
                <w:i/>
                <w:iCs/>
                <w:lang w:eastAsia="it-IT"/>
              </w:rPr>
              <w:t>IRES</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0,1</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0,3</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0,4</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Riduzione contributi sociali (taglio cuneo fiscale sul lavoro)</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2,8</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7,3</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8,4</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 xml:space="preserve">Eliminazione </w:t>
            </w:r>
            <w:r w:rsidR="002D5F27" w:rsidRPr="001951D9">
              <w:rPr>
                <w:rFonts w:ascii="Calibri" w:eastAsia="Times New Roman" w:hAnsi="Calibri" w:cs="Calibri"/>
                <w:i/>
                <w:iCs/>
                <w:lang w:eastAsia="it-IT"/>
              </w:rPr>
              <w:t>IRAP</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0,6</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1,7</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1,9</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Abolizione permanente delle clausole di salvaguardia</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0,2</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0,5</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0,7</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Incremento della spesa per investimenti</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0,3</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0,6</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0,9</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Contrasto all'evasione</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-0,6</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-1,7</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-2,0</w:t>
            </w:r>
          </w:p>
        </w:tc>
      </w:tr>
      <w:tr w:rsidR="00952E77" w:rsidRPr="001951D9" w:rsidTr="00952E77">
        <w:trPr>
          <w:trHeight w:val="290"/>
        </w:trPr>
        <w:tc>
          <w:tcPr>
            <w:tcW w:w="3487" w:type="pct"/>
            <w:tcBorders>
              <w:top w:val="nil"/>
              <w:left w:val="single" w:sz="4" w:space="0" w:color="auto"/>
              <w:bottom w:val="nil"/>
              <w:right w:val="nil"/>
            </w:tcBorders>
            <w:shd w:val="clear" w:color="auto" w:fill="auto"/>
            <w:noWrap/>
            <w:vAlign w:val="center"/>
            <w:hideMark/>
          </w:tcPr>
          <w:p w:rsidR="00952E77" w:rsidRPr="001951D9" w:rsidRDefault="00952E77" w:rsidP="005F40E0">
            <w:pPr>
              <w:spacing w:after="0" w:line="240" w:lineRule="auto"/>
              <w:rPr>
                <w:rFonts w:ascii="Calibri" w:eastAsia="Times New Roman" w:hAnsi="Calibri" w:cs="Calibri"/>
                <w:i/>
                <w:iCs/>
                <w:lang w:eastAsia="it-IT"/>
              </w:rPr>
            </w:pPr>
            <w:r w:rsidRPr="001951D9">
              <w:rPr>
                <w:rFonts w:ascii="Calibri" w:eastAsia="Times New Roman" w:hAnsi="Calibri" w:cs="Calibri"/>
                <w:i/>
                <w:iCs/>
                <w:lang w:eastAsia="it-IT"/>
              </w:rPr>
              <w:t>Introduzione Imposta per il welfare</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1951D9" w:rsidRDefault="00952E77" w:rsidP="005F40E0">
            <w:pPr>
              <w:spacing w:after="0" w:line="240" w:lineRule="auto"/>
              <w:jc w:val="right"/>
              <w:rPr>
                <w:rFonts w:ascii="Calibri" w:eastAsia="Times New Roman" w:hAnsi="Calibri" w:cs="Calibri"/>
                <w:i/>
                <w:lang w:eastAsia="it-IT"/>
              </w:rPr>
            </w:pPr>
            <w:r w:rsidRPr="001951D9">
              <w:rPr>
                <w:rFonts w:ascii="Calibri" w:eastAsia="Times New Roman" w:hAnsi="Calibri" w:cs="Calibri"/>
                <w:i/>
                <w:lang w:eastAsia="it-IT"/>
              </w:rPr>
              <w:t> </w:t>
            </w:r>
          </w:p>
        </w:tc>
        <w:tc>
          <w:tcPr>
            <w:tcW w:w="449"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-2,9</w:t>
            </w:r>
          </w:p>
        </w:tc>
        <w:tc>
          <w:tcPr>
            <w:tcW w:w="355" w:type="pct"/>
            <w:tcBorders>
              <w:top w:val="nil"/>
              <w:left w:val="nil"/>
              <w:bottom w:val="nil"/>
              <w:right w:val="nil"/>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-8,1</w:t>
            </w:r>
          </w:p>
        </w:tc>
        <w:tc>
          <w:tcPr>
            <w:tcW w:w="355" w:type="pct"/>
            <w:tcBorders>
              <w:top w:val="nil"/>
              <w:left w:val="nil"/>
              <w:bottom w:val="nil"/>
              <w:right w:val="single" w:sz="4" w:space="0" w:color="auto"/>
            </w:tcBorders>
            <w:shd w:val="clear" w:color="auto" w:fill="auto"/>
            <w:noWrap/>
            <w:vAlign w:val="center"/>
            <w:hideMark/>
          </w:tcPr>
          <w:p w:rsidR="00952E77" w:rsidRPr="001951D9" w:rsidRDefault="00952E77" w:rsidP="005F40E0">
            <w:pPr>
              <w:spacing w:after="0" w:line="240" w:lineRule="auto"/>
              <w:jc w:val="right"/>
              <w:rPr>
                <w:rFonts w:ascii="Calibri" w:eastAsia="Times New Roman" w:hAnsi="Calibri" w:cs="Calibri"/>
                <w:i/>
                <w:iCs/>
                <w:lang w:eastAsia="it-IT"/>
              </w:rPr>
            </w:pPr>
            <w:r w:rsidRPr="001951D9">
              <w:rPr>
                <w:rFonts w:ascii="Calibri" w:eastAsia="Times New Roman" w:hAnsi="Calibri" w:cs="Calibri"/>
                <w:i/>
                <w:iCs/>
                <w:lang w:eastAsia="it-IT"/>
              </w:rPr>
              <w:t>-10,0</w:t>
            </w:r>
          </w:p>
        </w:tc>
      </w:tr>
      <w:tr w:rsidR="00952E77" w:rsidRPr="0070655A" w:rsidTr="00952E77">
        <w:trPr>
          <w:trHeight w:val="290"/>
        </w:trPr>
        <w:tc>
          <w:tcPr>
            <w:tcW w:w="3487" w:type="pct"/>
            <w:tcBorders>
              <w:top w:val="nil"/>
              <w:left w:val="single" w:sz="4" w:space="0" w:color="auto"/>
              <w:bottom w:val="nil"/>
              <w:right w:val="nil"/>
            </w:tcBorders>
            <w:shd w:val="clear" w:color="auto" w:fill="auto"/>
            <w:noWrap/>
            <w:vAlign w:val="bottom"/>
            <w:hideMark/>
          </w:tcPr>
          <w:p w:rsidR="00952E77" w:rsidRPr="0070655A" w:rsidRDefault="00952E77" w:rsidP="005F40E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355" w:type="pct"/>
            <w:tcBorders>
              <w:top w:val="nil"/>
              <w:left w:val="single" w:sz="4" w:space="0" w:color="auto"/>
              <w:bottom w:val="nil"/>
              <w:right w:val="single" w:sz="4" w:space="0" w:color="auto"/>
            </w:tcBorders>
            <w:shd w:val="clear" w:color="auto" w:fill="F2F2F2" w:themeFill="background1" w:themeFillShade="F2"/>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c>
          <w:tcPr>
            <w:tcW w:w="449"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lang w:eastAsia="it-IT"/>
              </w:rPr>
            </w:pPr>
          </w:p>
        </w:tc>
        <w:tc>
          <w:tcPr>
            <w:tcW w:w="355" w:type="pct"/>
            <w:tcBorders>
              <w:top w:val="nil"/>
              <w:left w:val="nil"/>
              <w:bottom w:val="nil"/>
              <w:right w:val="nil"/>
            </w:tcBorders>
            <w:shd w:val="clear" w:color="auto" w:fill="auto"/>
            <w:noWrap/>
            <w:vAlign w:val="bottom"/>
            <w:hideMark/>
          </w:tcPr>
          <w:p w:rsidR="00952E77" w:rsidRPr="0070655A" w:rsidRDefault="00952E77" w:rsidP="005F40E0">
            <w:pPr>
              <w:spacing w:after="0" w:line="240" w:lineRule="auto"/>
              <w:rPr>
                <w:rFonts w:ascii="Times New Roman" w:eastAsia="Times New Roman" w:hAnsi="Times New Roman" w:cs="Times New Roman"/>
                <w:sz w:val="20"/>
                <w:szCs w:val="20"/>
                <w:lang w:eastAsia="it-IT"/>
              </w:rPr>
            </w:pPr>
          </w:p>
        </w:tc>
        <w:tc>
          <w:tcPr>
            <w:tcW w:w="355" w:type="pct"/>
            <w:tcBorders>
              <w:top w:val="nil"/>
              <w:left w:val="nil"/>
              <w:bottom w:val="nil"/>
              <w:right w:val="single" w:sz="4" w:space="0" w:color="auto"/>
            </w:tcBorders>
            <w:shd w:val="clear" w:color="auto" w:fill="auto"/>
            <w:noWrap/>
            <w:vAlign w:val="bottom"/>
            <w:hideMark/>
          </w:tcPr>
          <w:p w:rsidR="00952E77" w:rsidRPr="0070655A" w:rsidRDefault="00952E77" w:rsidP="005F40E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r>
      <w:tr w:rsidR="00952E77" w:rsidRPr="0070655A" w:rsidTr="00952E77">
        <w:trPr>
          <w:trHeight w:val="290"/>
        </w:trPr>
        <w:tc>
          <w:tcPr>
            <w:tcW w:w="3487" w:type="pct"/>
            <w:tcBorders>
              <w:top w:val="nil"/>
              <w:left w:val="single" w:sz="4" w:space="0" w:color="auto"/>
              <w:bottom w:val="single" w:sz="4" w:space="0" w:color="auto"/>
              <w:right w:val="nil"/>
            </w:tcBorders>
            <w:shd w:val="clear" w:color="auto" w:fill="auto"/>
            <w:noWrap/>
            <w:vAlign w:val="bottom"/>
            <w:hideMark/>
          </w:tcPr>
          <w:p w:rsidR="00952E77" w:rsidRPr="0070655A" w:rsidRDefault="00952E77" w:rsidP="005F40E0">
            <w:pPr>
              <w:spacing w:after="0" w:line="240" w:lineRule="auto"/>
              <w:rPr>
                <w:rFonts w:ascii="Calibri" w:eastAsia="Times New Roman" w:hAnsi="Calibri" w:cs="Calibri"/>
                <w:b/>
                <w:lang w:eastAsia="it-IT"/>
              </w:rPr>
            </w:pPr>
            <w:r w:rsidRPr="0070655A">
              <w:rPr>
                <w:rFonts w:ascii="Calibri" w:eastAsia="Times New Roman" w:hAnsi="Calibri" w:cs="Calibri"/>
                <w:b/>
                <w:lang w:eastAsia="it-IT"/>
              </w:rPr>
              <w:t xml:space="preserve">Crescita reale nello scenario </w:t>
            </w:r>
            <w:r w:rsidR="002D5F27">
              <w:rPr>
                <w:rFonts w:ascii="Calibri" w:eastAsia="Times New Roman" w:hAnsi="Calibri" w:cs="Calibri"/>
                <w:b/>
                <w:lang w:eastAsia="it-IT"/>
              </w:rPr>
              <w:t>NENS</w:t>
            </w:r>
          </w:p>
        </w:tc>
        <w:tc>
          <w:tcPr>
            <w:tcW w:w="35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952E77" w:rsidRPr="0070655A" w:rsidRDefault="00952E77" w:rsidP="005F40E0">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1,2 </w:t>
            </w:r>
          </w:p>
        </w:tc>
        <w:tc>
          <w:tcPr>
            <w:tcW w:w="449" w:type="pct"/>
            <w:tcBorders>
              <w:top w:val="nil"/>
              <w:left w:val="nil"/>
              <w:bottom w:val="single" w:sz="4" w:space="0" w:color="auto"/>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1,9 </w:t>
            </w:r>
          </w:p>
        </w:tc>
        <w:tc>
          <w:tcPr>
            <w:tcW w:w="355" w:type="pct"/>
            <w:tcBorders>
              <w:top w:val="nil"/>
              <w:left w:val="nil"/>
              <w:bottom w:val="single" w:sz="4" w:space="0" w:color="auto"/>
              <w:right w:val="nil"/>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2,2 </w:t>
            </w:r>
          </w:p>
        </w:tc>
        <w:tc>
          <w:tcPr>
            <w:tcW w:w="355" w:type="pct"/>
            <w:tcBorders>
              <w:top w:val="nil"/>
              <w:left w:val="nil"/>
              <w:bottom w:val="single" w:sz="4" w:space="0" w:color="auto"/>
              <w:right w:val="single" w:sz="4" w:space="0" w:color="auto"/>
            </w:tcBorders>
            <w:shd w:val="clear" w:color="auto" w:fill="auto"/>
            <w:noWrap/>
            <w:vAlign w:val="bottom"/>
            <w:hideMark/>
          </w:tcPr>
          <w:p w:rsidR="00952E77" w:rsidRPr="0070655A" w:rsidRDefault="00952E77" w:rsidP="005F40E0">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2,1 </w:t>
            </w:r>
          </w:p>
        </w:tc>
      </w:tr>
    </w:tbl>
    <w:p w:rsidR="00861A08" w:rsidRDefault="00861A08" w:rsidP="00861A08">
      <w:pPr>
        <w:spacing w:before="120"/>
        <w:jc w:val="both"/>
      </w:pPr>
      <w:r w:rsidRPr="0070655A">
        <w:t xml:space="preserve">Prima di passare oltre con la descrizione degli effetti di finanza pubblica della manovra, è bene sottolineare due punti riguardo la bontà delle nostre stime. Il primo punto riguarda il livello dei moltiplicatori utilizzati dal modello di simulazione di </w:t>
      </w:r>
      <w:r w:rsidR="002D5F27">
        <w:t>NENS</w:t>
      </w:r>
      <w:r w:rsidRPr="0070655A">
        <w:t>, il quale – per costruzione – è stato calibrato in maniera da approssimare il più possibile i livelli delle cd elasticità cumulate generate del modello ITEM del MEF. Nel corso degli u</w:t>
      </w:r>
      <w:r w:rsidR="00286401" w:rsidRPr="0070655A">
        <w:t>ltimi tre anni l’UPB ha a più riprese</w:t>
      </w:r>
      <w:r w:rsidRPr="0070655A">
        <w:t xml:space="preserve"> evidenziato come le stime governative tendano a collocarsi in prossimità del limite superiore dell’intervallo di previsione calcolato dall’Ufficio attraverso il suo pool di previsori. Indirettamente </w:t>
      </w:r>
      <w:r w:rsidR="00286401" w:rsidRPr="0070655A">
        <w:t>tale critica è estendibile sia al nostro modello che</w:t>
      </w:r>
      <w:r w:rsidRPr="0070655A">
        <w:t xml:space="preserve"> </w:t>
      </w:r>
      <w:r w:rsidR="00286401" w:rsidRPr="0070655A">
        <w:t>al</w:t>
      </w:r>
      <w:r w:rsidRPr="0070655A">
        <w:t>le nostre stime</w:t>
      </w:r>
      <w:r w:rsidR="00286401" w:rsidRPr="0070655A">
        <w:t>, le quali</w:t>
      </w:r>
      <w:r w:rsidRPr="0070655A">
        <w:t xml:space="preserve"> tenderanno ad approssimare per eccesso gli effetti della manovra</w:t>
      </w:r>
      <w:r w:rsidRPr="0070655A">
        <w:rPr>
          <w:rStyle w:val="Rimandonotaapidipagina"/>
        </w:rPr>
        <w:footnoteReference w:id="2"/>
      </w:r>
      <w:r w:rsidRPr="0070655A">
        <w:t>.</w:t>
      </w:r>
    </w:p>
    <w:p w:rsidR="00861A08" w:rsidRPr="0070655A" w:rsidRDefault="00861A08" w:rsidP="00861A08">
      <w:pPr>
        <w:jc w:val="both"/>
      </w:pPr>
      <w:r w:rsidRPr="0070655A">
        <w:lastRenderedPageBreak/>
        <w:t>Il secondo punto riguarda invece l’eventualità che la maggiore crescita dovuta all’aumento della spesa per investimenti possa innescare delle ricadute di produttività a livello di intero sistema; ricadute che, come da tempo documentato dalla moderna Teoria della crescita, hanno come effetto sistemico quello di innalzare in maniera permanente il trend di crescita dell’economia. In linea con la maggior parte dei modelli di s</w:t>
      </w:r>
      <w:r w:rsidR="007D36EE" w:rsidRPr="0070655A">
        <w:t>tima e previsione, tra cui</w:t>
      </w:r>
      <w:r w:rsidRPr="0070655A">
        <w:t xml:space="preserve"> l’ITEM, anche il mostro modello tende a non includere queste esternalità e pertanto a sottostimare gli effetti espansivi indotti dall’aumento degli investimenti pubblici. Analoghe considerazioni si possono fare a proposito della riduzione delle imposte finanziata con il recupero di evasione che nella simulazione si compensano esattamente. Esistono tuttavia studi che dimostrano come in recupero di evasione utilizzato per ridurre le imposte determinerebbe un rilevante incremento dell’efficienza della nostra economia che, nel medio periodo, comporterebbero aumenti del PIL dell’ordine del 3% con oltre 330.000 nuovi posti di lavoro</w:t>
      </w:r>
      <w:r w:rsidRPr="0070655A">
        <w:rPr>
          <w:rStyle w:val="Rimandonotaapidipagina"/>
        </w:rPr>
        <w:footnoteReference w:id="3"/>
      </w:r>
      <w:r w:rsidRPr="0070655A">
        <w:t>. Inoltre, l’aumento della progressività dell’</w:t>
      </w:r>
      <w:r w:rsidR="002D5F27">
        <w:t>IRPEF</w:t>
      </w:r>
      <w:r w:rsidRPr="0070655A">
        <w:t xml:space="preserve"> e l’imposta personale sul patrimonio avrebbero l’effetto di ridurre la diseguaglianza nei redditi dopo le imposte aumentando il reddito disponibile delle famiglie con più elevata propensione al consumo; anche queste misure dovrebbero avere un effetto espansivo che nella simulazione non è possibile stimare.</w:t>
      </w:r>
    </w:p>
    <w:p w:rsidR="00C455DD" w:rsidRPr="0070655A" w:rsidRDefault="0094338D" w:rsidP="0094338D">
      <w:pPr>
        <w:pStyle w:val="Titolo2"/>
        <w:rPr>
          <w:color w:val="auto"/>
        </w:rPr>
      </w:pPr>
      <w:r w:rsidRPr="0070655A">
        <w:rPr>
          <w:color w:val="auto"/>
        </w:rPr>
        <w:t>Gli effetti sulla dinamica del rapporto deficit/PIL</w:t>
      </w:r>
      <w:r w:rsidR="008C686E" w:rsidRPr="0070655A">
        <w:rPr>
          <w:color w:val="auto"/>
        </w:rPr>
        <w:t xml:space="preserve"> e Debito/PIL</w:t>
      </w:r>
    </w:p>
    <w:p w:rsidR="00903104" w:rsidRPr="0070655A" w:rsidRDefault="0034272B" w:rsidP="00BF614F">
      <w:pPr>
        <w:jc w:val="both"/>
      </w:pPr>
      <w:r w:rsidRPr="0070655A">
        <w:t xml:space="preserve">Oltre che in termini di produzione, la maggiore crescita </w:t>
      </w:r>
      <w:r w:rsidR="00E37A34" w:rsidRPr="0070655A">
        <w:t>dovuta all’implementazione della</w:t>
      </w:r>
      <w:r w:rsidR="00093130" w:rsidRPr="0070655A">
        <w:t xml:space="preserve"> nostra</w:t>
      </w:r>
      <w:r w:rsidR="00E37A34" w:rsidRPr="0070655A">
        <w:t xml:space="preserve"> proposta ha effetti positivi anche in tema di conti pubblici. </w:t>
      </w:r>
      <w:r w:rsidR="00B273EB" w:rsidRPr="0070655A">
        <w:t>La tab.3 riporta una stima degli effetti della manovra sull’andamento del rapporto deficit/PIL dell’Italia per il triennio 2019-2021. Anche in questo caso, lo scenario base utilizzato per il calcolo degli scostamenti indotti da ogni singola componente della manovra è quello tendenziale ripo</w:t>
      </w:r>
      <w:r w:rsidR="000D5AAA" w:rsidRPr="0070655A">
        <w:t>rtato dall’ultimo DEF di</w:t>
      </w:r>
      <w:r w:rsidR="00FF6EE5" w:rsidRPr="0070655A">
        <w:t xml:space="preserve"> aprile corretto per </w:t>
      </w:r>
      <w:r w:rsidR="007B44D0" w:rsidRPr="0070655A">
        <w:t>il peggioramento</w:t>
      </w:r>
      <w:r w:rsidR="00FF6EE5" w:rsidRPr="0070655A">
        <w:t xml:space="preserve"> della</w:t>
      </w:r>
      <w:r w:rsidR="000D5AAA" w:rsidRPr="0070655A">
        <w:t xml:space="preserve"> congiuntura.</w:t>
      </w:r>
    </w:p>
    <w:p w:rsidR="00954472" w:rsidRPr="0070655A" w:rsidRDefault="00954472" w:rsidP="00260695">
      <w:pPr>
        <w:pStyle w:val="Didascalia"/>
        <w:keepNext/>
        <w:spacing w:before="240"/>
        <w:jc w:val="both"/>
        <w:rPr>
          <w:b/>
          <w:i w:val="0"/>
          <w:color w:val="auto"/>
        </w:rPr>
      </w:pPr>
      <w:r w:rsidRPr="0070655A">
        <w:rPr>
          <w:b/>
          <w:i w:val="0"/>
          <w:color w:val="auto"/>
        </w:rPr>
        <w:t xml:space="preserve">Tabella </w:t>
      </w:r>
      <w:r w:rsidR="005A731E" w:rsidRPr="0070655A">
        <w:rPr>
          <w:b/>
          <w:i w:val="0"/>
          <w:noProof/>
          <w:color w:val="auto"/>
        </w:rPr>
        <w:fldChar w:fldCharType="begin"/>
      </w:r>
      <w:r w:rsidR="005A731E" w:rsidRPr="0070655A">
        <w:rPr>
          <w:b/>
          <w:i w:val="0"/>
          <w:noProof/>
          <w:color w:val="auto"/>
        </w:rPr>
        <w:instrText xml:space="preserve"> SEQ Tabella \* ARABIC </w:instrText>
      </w:r>
      <w:r w:rsidR="005A731E" w:rsidRPr="0070655A">
        <w:rPr>
          <w:b/>
          <w:i w:val="0"/>
          <w:noProof/>
          <w:color w:val="auto"/>
        </w:rPr>
        <w:fldChar w:fldCharType="separate"/>
      </w:r>
      <w:r w:rsidR="00DA0E8A" w:rsidRPr="0070655A">
        <w:rPr>
          <w:b/>
          <w:i w:val="0"/>
          <w:noProof/>
          <w:color w:val="auto"/>
        </w:rPr>
        <w:t>3</w:t>
      </w:r>
      <w:r w:rsidR="005A731E" w:rsidRPr="0070655A">
        <w:rPr>
          <w:b/>
          <w:i w:val="0"/>
          <w:noProof/>
          <w:color w:val="auto"/>
        </w:rPr>
        <w:fldChar w:fldCharType="end"/>
      </w:r>
      <w:r w:rsidRPr="0070655A">
        <w:rPr>
          <w:b/>
          <w:i w:val="0"/>
          <w:color w:val="auto"/>
        </w:rPr>
        <w:t xml:space="preserve">: Effetti della manovra </w:t>
      </w:r>
      <w:r w:rsidR="00F754EF" w:rsidRPr="0070655A">
        <w:rPr>
          <w:b/>
          <w:i w:val="0"/>
          <w:color w:val="auto"/>
        </w:rPr>
        <w:t>sull’andamento del rapporto deficit-PIL dell’Italia</w:t>
      </w:r>
      <w:r w:rsidRPr="0070655A">
        <w:rPr>
          <w:b/>
          <w:i w:val="0"/>
          <w:color w:val="auto"/>
        </w:rPr>
        <w:t xml:space="preserve"> – Fonte: elaborazioni </w:t>
      </w:r>
      <w:r w:rsidR="002D5F27">
        <w:rPr>
          <w:b/>
          <w:i w:val="0"/>
          <w:color w:val="auto"/>
        </w:rPr>
        <w:t>NENS</w:t>
      </w:r>
      <w:r w:rsidR="00260695">
        <w:rPr>
          <w:b/>
          <w:i w:val="0"/>
          <w:color w:val="auto"/>
        </w:rPr>
        <w:t>. Eventuali non corrispondenze sono dovute agli arrotondamenti</w:t>
      </w:r>
    </w:p>
    <w:tbl>
      <w:tblPr>
        <w:tblW w:w="9633" w:type="dxa"/>
        <w:tblCellMar>
          <w:left w:w="70" w:type="dxa"/>
          <w:right w:w="70" w:type="dxa"/>
        </w:tblCellMar>
        <w:tblLook w:val="04A0" w:firstRow="1" w:lastRow="0" w:firstColumn="1" w:lastColumn="0" w:noHBand="0" w:noVBand="1"/>
      </w:tblPr>
      <w:tblGrid>
        <w:gridCol w:w="7005"/>
        <w:gridCol w:w="720"/>
        <w:gridCol w:w="636"/>
        <w:gridCol w:w="636"/>
        <w:gridCol w:w="636"/>
      </w:tblGrid>
      <w:tr w:rsidR="007D03AE" w:rsidRPr="0070655A" w:rsidTr="001951D9">
        <w:trPr>
          <w:trHeight w:val="290"/>
        </w:trPr>
        <w:tc>
          <w:tcPr>
            <w:tcW w:w="7005" w:type="dxa"/>
            <w:tcBorders>
              <w:top w:val="single" w:sz="4" w:space="0" w:color="auto"/>
              <w:left w:val="single" w:sz="4" w:space="0" w:color="auto"/>
              <w:bottom w:val="nil"/>
              <w:right w:val="nil"/>
            </w:tcBorders>
            <w:shd w:val="clear" w:color="auto" w:fill="D9D9D9" w:themeFill="background1" w:themeFillShade="D9"/>
            <w:noWrap/>
            <w:vAlign w:val="bottom"/>
            <w:hideMark/>
          </w:tcPr>
          <w:p w:rsidR="00C94670" w:rsidRPr="0070655A" w:rsidRDefault="00C94670" w:rsidP="00C9467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720" w:type="dxa"/>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rsidR="00C94670" w:rsidRPr="0070655A" w:rsidRDefault="00C94670" w:rsidP="000702A1">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2018</w:t>
            </w:r>
          </w:p>
        </w:tc>
        <w:tc>
          <w:tcPr>
            <w:tcW w:w="0" w:type="auto"/>
            <w:tcBorders>
              <w:top w:val="single" w:sz="4" w:space="0" w:color="auto"/>
              <w:left w:val="nil"/>
              <w:bottom w:val="nil"/>
              <w:right w:val="nil"/>
            </w:tcBorders>
            <w:shd w:val="clear" w:color="auto" w:fill="D9D9D9" w:themeFill="background1" w:themeFillShade="D9"/>
            <w:noWrap/>
            <w:vAlign w:val="bottom"/>
            <w:hideMark/>
          </w:tcPr>
          <w:p w:rsidR="00C94670" w:rsidRPr="0070655A" w:rsidRDefault="00C94670" w:rsidP="000702A1">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 xml:space="preserve"> 2019 </w:t>
            </w:r>
          </w:p>
        </w:tc>
        <w:tc>
          <w:tcPr>
            <w:tcW w:w="0" w:type="auto"/>
            <w:tcBorders>
              <w:top w:val="single" w:sz="4" w:space="0" w:color="auto"/>
              <w:left w:val="nil"/>
              <w:bottom w:val="nil"/>
              <w:right w:val="nil"/>
            </w:tcBorders>
            <w:shd w:val="clear" w:color="auto" w:fill="D9D9D9" w:themeFill="background1" w:themeFillShade="D9"/>
            <w:noWrap/>
            <w:vAlign w:val="bottom"/>
            <w:hideMark/>
          </w:tcPr>
          <w:p w:rsidR="00C94670" w:rsidRPr="0070655A" w:rsidRDefault="00C94670" w:rsidP="000702A1">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 xml:space="preserve"> 2020 </w:t>
            </w:r>
          </w:p>
        </w:tc>
        <w:tc>
          <w:tcPr>
            <w:tcW w:w="0" w:type="auto"/>
            <w:tcBorders>
              <w:top w:val="single" w:sz="4" w:space="0" w:color="auto"/>
              <w:left w:val="nil"/>
              <w:bottom w:val="nil"/>
              <w:right w:val="single" w:sz="4" w:space="0" w:color="auto"/>
            </w:tcBorders>
            <w:shd w:val="clear" w:color="auto" w:fill="D9D9D9" w:themeFill="background1" w:themeFillShade="D9"/>
            <w:noWrap/>
            <w:vAlign w:val="bottom"/>
            <w:hideMark/>
          </w:tcPr>
          <w:p w:rsidR="00C94670" w:rsidRPr="0070655A" w:rsidRDefault="00C94670" w:rsidP="000702A1">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 xml:space="preserve"> 2021 </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bottom"/>
            <w:hideMark/>
          </w:tcPr>
          <w:p w:rsidR="00C94670" w:rsidRPr="00260695" w:rsidRDefault="00170A72" w:rsidP="00C94670">
            <w:pPr>
              <w:spacing w:after="0" w:line="240" w:lineRule="auto"/>
              <w:rPr>
                <w:rFonts w:ascii="Calibri" w:eastAsia="Times New Roman" w:hAnsi="Calibri" w:cs="Calibri"/>
                <w:b/>
                <w:lang w:eastAsia="it-IT"/>
              </w:rPr>
            </w:pPr>
            <w:r w:rsidRPr="00260695">
              <w:rPr>
                <w:rFonts w:ascii="Calibri" w:eastAsia="Times New Roman" w:hAnsi="Calibri" w:cs="Calibri"/>
                <w:b/>
                <w:lang w:eastAsia="it-IT"/>
              </w:rPr>
              <w:t>Deficit</w:t>
            </w:r>
            <w:r w:rsidR="00C94670" w:rsidRPr="00260695">
              <w:rPr>
                <w:rFonts w:ascii="Calibri" w:eastAsia="Times New Roman" w:hAnsi="Calibri" w:cs="Calibri"/>
                <w:b/>
                <w:lang w:eastAsia="it-IT"/>
              </w:rPr>
              <w:t>/Pil nello scenario base</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b/>
                <w:lang w:eastAsia="it-IT"/>
              </w:rPr>
            </w:pPr>
            <w:r w:rsidRPr="00260695">
              <w:rPr>
                <w:rFonts w:ascii="Calibri" w:eastAsia="Times New Roman" w:hAnsi="Calibri" w:cs="Calibri"/>
                <w:b/>
                <w:lang w:eastAsia="it-IT"/>
              </w:rPr>
              <w:t xml:space="preserve">-1,6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lang w:eastAsia="it-IT"/>
              </w:rPr>
            </w:pPr>
            <w:r w:rsidRPr="00260695">
              <w:rPr>
                <w:rFonts w:ascii="Calibri" w:eastAsia="Times New Roman" w:hAnsi="Calibri" w:cs="Calibri"/>
                <w:b/>
                <w:lang w:eastAsia="it-IT"/>
              </w:rPr>
              <w:t xml:space="preserve">-0,8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lang w:eastAsia="it-IT"/>
              </w:rPr>
            </w:pPr>
            <w:r w:rsidRPr="00260695">
              <w:rPr>
                <w:rFonts w:ascii="Calibri" w:eastAsia="Times New Roman" w:hAnsi="Calibri" w:cs="Calibri"/>
                <w:b/>
                <w:lang w:eastAsia="it-IT"/>
              </w:rPr>
              <w:t xml:space="preserve">0,0 </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lang w:eastAsia="it-IT"/>
              </w:rPr>
            </w:pPr>
            <w:r w:rsidRPr="00260695">
              <w:rPr>
                <w:rFonts w:ascii="Calibri" w:eastAsia="Times New Roman" w:hAnsi="Calibri" w:cs="Calibri"/>
                <w:b/>
                <w:lang w:eastAsia="it-IT"/>
              </w:rPr>
              <w:t xml:space="preserve">0,2 </w:t>
            </w:r>
          </w:p>
        </w:tc>
      </w:tr>
      <w:tr w:rsidR="007D03AE" w:rsidRPr="0070655A" w:rsidTr="001951D9">
        <w:trPr>
          <w:trHeight w:val="290"/>
        </w:trPr>
        <w:tc>
          <w:tcPr>
            <w:tcW w:w="7005" w:type="dxa"/>
            <w:tcBorders>
              <w:top w:val="nil"/>
              <w:left w:val="single" w:sz="4" w:space="0" w:color="auto"/>
              <w:bottom w:val="nil"/>
              <w:right w:val="nil"/>
            </w:tcBorders>
            <w:shd w:val="clear" w:color="auto" w:fill="auto"/>
            <w:noWrap/>
            <w:vAlign w:val="bottom"/>
            <w:hideMark/>
          </w:tcPr>
          <w:p w:rsidR="00C94670" w:rsidRPr="0070655A" w:rsidRDefault="00C94670" w:rsidP="00C9467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c>
          <w:tcPr>
            <w:tcW w:w="0" w:type="auto"/>
            <w:tcBorders>
              <w:top w:val="nil"/>
              <w:left w:val="nil"/>
              <w:bottom w:val="nil"/>
              <w:right w:val="nil"/>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p>
        </w:tc>
        <w:tc>
          <w:tcPr>
            <w:tcW w:w="0" w:type="auto"/>
            <w:tcBorders>
              <w:top w:val="nil"/>
              <w:left w:val="nil"/>
              <w:bottom w:val="nil"/>
              <w:right w:val="nil"/>
            </w:tcBorders>
            <w:shd w:val="clear" w:color="auto" w:fill="auto"/>
            <w:noWrap/>
            <w:vAlign w:val="bottom"/>
            <w:hideMark/>
          </w:tcPr>
          <w:p w:rsidR="00C94670" w:rsidRPr="0070655A" w:rsidRDefault="00C94670" w:rsidP="000702A1">
            <w:pPr>
              <w:spacing w:after="0" w:line="240" w:lineRule="auto"/>
              <w:jc w:val="right"/>
              <w:rPr>
                <w:rFonts w:ascii="Times New Roman" w:eastAsia="Times New Roman" w:hAnsi="Times New Roman" w:cs="Times New Roman"/>
                <w:sz w:val="20"/>
                <w:szCs w:val="20"/>
                <w:lang w:eastAsia="it-IT"/>
              </w:rPr>
            </w:pPr>
          </w:p>
        </w:tc>
        <w:tc>
          <w:tcPr>
            <w:tcW w:w="0" w:type="auto"/>
            <w:tcBorders>
              <w:top w:val="nil"/>
              <w:left w:val="nil"/>
              <w:bottom w:val="nil"/>
              <w:right w:val="single" w:sz="4" w:space="0" w:color="auto"/>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bottom"/>
            <w:hideMark/>
          </w:tcPr>
          <w:p w:rsidR="00C94670" w:rsidRPr="00260695" w:rsidRDefault="007D03AE" w:rsidP="000702A1">
            <w:pPr>
              <w:spacing w:after="0" w:line="240" w:lineRule="auto"/>
              <w:rPr>
                <w:rFonts w:ascii="Calibri" w:eastAsia="Times New Roman" w:hAnsi="Calibri" w:cs="Calibri"/>
                <w:b/>
                <w:iCs/>
                <w:lang w:eastAsia="it-IT"/>
              </w:rPr>
            </w:pPr>
            <w:r w:rsidRPr="00260695">
              <w:rPr>
                <w:rFonts w:ascii="Calibri" w:eastAsia="Times New Roman" w:hAnsi="Calibri" w:cs="Calibri"/>
                <w:b/>
                <w:iCs/>
                <w:lang w:eastAsia="it-IT"/>
              </w:rPr>
              <w:t>Impatto della manovra</w:t>
            </w:r>
            <w:r w:rsidR="00C94670" w:rsidRPr="00260695">
              <w:rPr>
                <w:rFonts w:ascii="Calibri" w:eastAsia="Times New Roman" w:hAnsi="Calibri" w:cs="Calibri"/>
                <w:b/>
                <w:iCs/>
                <w:lang w:eastAsia="it-IT"/>
              </w:rPr>
              <w:t>: (deviazione rispetto allo scenario base)</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b/>
                <w:iCs/>
                <w:lang w:eastAsia="it-IT"/>
              </w:rPr>
            </w:pPr>
            <w:r w:rsidRPr="00260695">
              <w:rPr>
                <w:rFonts w:ascii="Calibri" w:eastAsia="Times New Roman" w:hAnsi="Calibri" w:cs="Calibri"/>
                <w:b/>
                <w:iCs/>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iCs/>
                <w:lang w:eastAsia="it-IT"/>
              </w:rPr>
            </w:pPr>
            <w:r w:rsidRPr="00260695">
              <w:rPr>
                <w:rFonts w:ascii="Calibri" w:eastAsia="Times New Roman" w:hAnsi="Calibri" w:cs="Calibri"/>
                <w:b/>
                <w:iCs/>
                <w:lang w:eastAsia="it-IT"/>
              </w:rPr>
              <w:t>0,1</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iCs/>
                <w:lang w:eastAsia="it-IT"/>
              </w:rPr>
            </w:pPr>
            <w:r w:rsidRPr="00260695">
              <w:rPr>
                <w:rFonts w:ascii="Calibri" w:eastAsia="Times New Roman" w:hAnsi="Calibri" w:cs="Calibri"/>
                <w:b/>
                <w:iCs/>
                <w:lang w:eastAsia="it-IT"/>
              </w:rPr>
              <w:t>0,2</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b/>
                <w:iCs/>
                <w:lang w:eastAsia="it-IT"/>
              </w:rPr>
            </w:pPr>
            <w:r w:rsidRPr="00260695">
              <w:rPr>
                <w:rFonts w:ascii="Calibri" w:eastAsia="Times New Roman" w:hAnsi="Calibri" w:cs="Calibri"/>
                <w:b/>
                <w:iCs/>
                <w:lang w:eastAsia="it-IT"/>
              </w:rPr>
              <w:t>0,3</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C94670"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Riforma IRPE</w:t>
            </w:r>
            <w:r w:rsidR="000D121A">
              <w:rPr>
                <w:rFonts w:ascii="Calibri" w:eastAsia="Times New Roman" w:hAnsi="Calibri" w:cs="Calibri"/>
                <w:i/>
                <w:iCs/>
                <w:lang w:eastAsia="it-IT"/>
              </w:rPr>
              <w:t>F</w:t>
            </w:r>
            <w:r w:rsidRPr="00260695">
              <w:rPr>
                <w:rFonts w:ascii="Calibri" w:eastAsia="Times New Roman" w:hAnsi="Calibri" w:cs="Calibri"/>
                <w:i/>
                <w:iCs/>
                <w:lang w:eastAsia="it-IT"/>
              </w:rPr>
              <w:t xml:space="preserve"> e dell’assegno di famiglia</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-1,1</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-0,8</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-0,7</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C94670"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 xml:space="preserve">Riduzione </w:t>
            </w:r>
            <w:r w:rsidR="002D5F27" w:rsidRPr="00260695">
              <w:rPr>
                <w:rFonts w:ascii="Calibri" w:eastAsia="Times New Roman" w:hAnsi="Calibri" w:cs="Calibri"/>
                <w:i/>
                <w:iCs/>
                <w:lang w:eastAsia="it-IT"/>
              </w:rPr>
              <w:t>IRES</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-0,6</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-0,4</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-0,3</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C94670"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 xml:space="preserve">Riduzione contributi sociali ed Eliminazione </w:t>
            </w:r>
            <w:r w:rsidR="002D5F27" w:rsidRPr="00260695">
              <w:rPr>
                <w:rFonts w:ascii="Calibri" w:eastAsia="Times New Roman" w:hAnsi="Calibri" w:cs="Calibri"/>
                <w:i/>
                <w:iCs/>
                <w:lang w:eastAsia="it-IT"/>
              </w:rPr>
              <w:t>IRAP</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-5,0</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-2,4</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-1,6</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C94670"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Abolizione permanente delle clausole di salvaguardia</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-0,7</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-0,9</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-0,7</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C94670"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Incremento della spesa per investimenti</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-0,2</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-0,3</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-0,5</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170A72" w:rsidP="000702A1">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 xml:space="preserve">Introduzione Imposta per il welfare </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6,0</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4,0</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3,8</w:t>
            </w:r>
          </w:p>
        </w:tc>
      </w:tr>
      <w:tr w:rsidR="007D03AE" w:rsidRPr="00260695" w:rsidTr="001951D9">
        <w:trPr>
          <w:trHeight w:val="290"/>
        </w:trPr>
        <w:tc>
          <w:tcPr>
            <w:tcW w:w="7005" w:type="dxa"/>
            <w:tcBorders>
              <w:top w:val="nil"/>
              <w:left w:val="single" w:sz="4" w:space="0" w:color="auto"/>
              <w:bottom w:val="nil"/>
              <w:right w:val="nil"/>
            </w:tcBorders>
            <w:shd w:val="clear" w:color="auto" w:fill="auto"/>
            <w:noWrap/>
            <w:vAlign w:val="center"/>
            <w:hideMark/>
          </w:tcPr>
          <w:p w:rsidR="00C94670" w:rsidRPr="00260695" w:rsidRDefault="00170A72" w:rsidP="00C94670">
            <w:pPr>
              <w:spacing w:after="0" w:line="240" w:lineRule="auto"/>
              <w:rPr>
                <w:rFonts w:ascii="Calibri" w:eastAsia="Times New Roman" w:hAnsi="Calibri" w:cs="Calibri"/>
                <w:i/>
                <w:iCs/>
                <w:lang w:eastAsia="it-IT"/>
              </w:rPr>
            </w:pPr>
            <w:r w:rsidRPr="00260695">
              <w:rPr>
                <w:rFonts w:ascii="Calibri" w:eastAsia="Times New Roman" w:hAnsi="Calibri" w:cs="Calibri"/>
                <w:i/>
                <w:iCs/>
                <w:lang w:eastAsia="it-IT"/>
              </w:rPr>
              <w:t>Contrasto all'evasione</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 </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1,7</w:t>
            </w:r>
          </w:p>
        </w:tc>
        <w:tc>
          <w:tcPr>
            <w:tcW w:w="0" w:type="auto"/>
            <w:tcBorders>
              <w:top w:val="nil"/>
              <w:left w:val="nil"/>
              <w:bottom w:val="nil"/>
              <w:right w:val="nil"/>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1,0</w:t>
            </w:r>
          </w:p>
        </w:tc>
        <w:tc>
          <w:tcPr>
            <w:tcW w:w="0" w:type="auto"/>
            <w:tcBorders>
              <w:top w:val="nil"/>
              <w:left w:val="nil"/>
              <w:bottom w:val="nil"/>
              <w:right w:val="single" w:sz="4" w:space="0" w:color="auto"/>
            </w:tcBorders>
            <w:shd w:val="clear" w:color="auto" w:fill="auto"/>
            <w:noWrap/>
            <w:vAlign w:val="bottom"/>
            <w:hideMark/>
          </w:tcPr>
          <w:p w:rsidR="00C94670" w:rsidRPr="00260695" w:rsidRDefault="00C94670" w:rsidP="000702A1">
            <w:pPr>
              <w:spacing w:after="0" w:line="240" w:lineRule="auto"/>
              <w:jc w:val="right"/>
              <w:rPr>
                <w:rFonts w:ascii="Calibri" w:eastAsia="Times New Roman" w:hAnsi="Calibri" w:cs="Calibri"/>
                <w:i/>
                <w:lang w:eastAsia="it-IT"/>
              </w:rPr>
            </w:pPr>
            <w:r w:rsidRPr="00260695">
              <w:rPr>
                <w:rFonts w:ascii="Calibri" w:eastAsia="Times New Roman" w:hAnsi="Calibri" w:cs="Calibri"/>
                <w:i/>
                <w:lang w:eastAsia="it-IT"/>
              </w:rPr>
              <w:t>0,3</w:t>
            </w:r>
          </w:p>
        </w:tc>
      </w:tr>
      <w:tr w:rsidR="007D03AE" w:rsidRPr="0070655A" w:rsidTr="001951D9">
        <w:trPr>
          <w:trHeight w:val="290"/>
        </w:trPr>
        <w:tc>
          <w:tcPr>
            <w:tcW w:w="7005" w:type="dxa"/>
            <w:tcBorders>
              <w:top w:val="nil"/>
              <w:left w:val="single" w:sz="4" w:space="0" w:color="auto"/>
              <w:bottom w:val="nil"/>
              <w:right w:val="nil"/>
            </w:tcBorders>
            <w:shd w:val="clear" w:color="auto" w:fill="auto"/>
            <w:noWrap/>
            <w:vAlign w:val="bottom"/>
            <w:hideMark/>
          </w:tcPr>
          <w:p w:rsidR="00C94670" w:rsidRPr="0070655A" w:rsidRDefault="00C94670" w:rsidP="00C94670">
            <w:pPr>
              <w:spacing w:after="0" w:line="240" w:lineRule="auto"/>
              <w:rPr>
                <w:rFonts w:ascii="Calibri" w:eastAsia="Times New Roman" w:hAnsi="Calibri" w:cs="Calibri"/>
                <w:lang w:eastAsia="it-IT"/>
              </w:rPr>
            </w:pPr>
            <w:r w:rsidRPr="0070655A">
              <w:rPr>
                <w:rFonts w:ascii="Calibri" w:eastAsia="Times New Roman" w:hAnsi="Calibri" w:cs="Calibri"/>
                <w:lang w:eastAsia="it-IT"/>
              </w:rPr>
              <w:t> </w:t>
            </w:r>
          </w:p>
        </w:tc>
        <w:tc>
          <w:tcPr>
            <w:tcW w:w="720" w:type="dxa"/>
            <w:tcBorders>
              <w:top w:val="nil"/>
              <w:left w:val="single" w:sz="4" w:space="0" w:color="auto"/>
              <w:bottom w:val="nil"/>
              <w:right w:val="single" w:sz="4" w:space="0" w:color="auto"/>
            </w:tcBorders>
            <w:shd w:val="clear" w:color="auto" w:fill="F2F2F2" w:themeFill="background1" w:themeFillShade="F2"/>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c>
          <w:tcPr>
            <w:tcW w:w="0" w:type="auto"/>
            <w:tcBorders>
              <w:top w:val="nil"/>
              <w:left w:val="nil"/>
              <w:bottom w:val="nil"/>
              <w:right w:val="nil"/>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p>
        </w:tc>
        <w:tc>
          <w:tcPr>
            <w:tcW w:w="0" w:type="auto"/>
            <w:tcBorders>
              <w:top w:val="nil"/>
              <w:left w:val="nil"/>
              <w:bottom w:val="nil"/>
              <w:right w:val="nil"/>
            </w:tcBorders>
            <w:shd w:val="clear" w:color="auto" w:fill="auto"/>
            <w:noWrap/>
            <w:vAlign w:val="bottom"/>
            <w:hideMark/>
          </w:tcPr>
          <w:p w:rsidR="00C94670" w:rsidRPr="0070655A" w:rsidRDefault="00C94670" w:rsidP="000702A1">
            <w:pPr>
              <w:spacing w:after="0" w:line="240" w:lineRule="auto"/>
              <w:jc w:val="right"/>
              <w:rPr>
                <w:rFonts w:ascii="Times New Roman" w:eastAsia="Times New Roman" w:hAnsi="Times New Roman" w:cs="Times New Roman"/>
                <w:sz w:val="20"/>
                <w:szCs w:val="20"/>
                <w:lang w:eastAsia="it-IT"/>
              </w:rPr>
            </w:pPr>
          </w:p>
        </w:tc>
        <w:tc>
          <w:tcPr>
            <w:tcW w:w="0" w:type="auto"/>
            <w:tcBorders>
              <w:top w:val="nil"/>
              <w:left w:val="nil"/>
              <w:bottom w:val="nil"/>
              <w:right w:val="single" w:sz="4" w:space="0" w:color="auto"/>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 </w:t>
            </w:r>
          </w:p>
        </w:tc>
      </w:tr>
      <w:tr w:rsidR="007D03AE" w:rsidRPr="0070655A" w:rsidTr="001951D9">
        <w:trPr>
          <w:trHeight w:val="290"/>
        </w:trPr>
        <w:tc>
          <w:tcPr>
            <w:tcW w:w="7005" w:type="dxa"/>
            <w:tcBorders>
              <w:top w:val="nil"/>
              <w:left w:val="single" w:sz="4" w:space="0" w:color="auto"/>
              <w:bottom w:val="single" w:sz="4" w:space="0" w:color="auto"/>
              <w:right w:val="nil"/>
            </w:tcBorders>
            <w:shd w:val="clear" w:color="auto" w:fill="auto"/>
            <w:noWrap/>
            <w:vAlign w:val="bottom"/>
            <w:hideMark/>
          </w:tcPr>
          <w:p w:rsidR="00C94670" w:rsidRPr="0070655A" w:rsidRDefault="00F677C4" w:rsidP="00C94670">
            <w:pPr>
              <w:spacing w:after="0" w:line="240" w:lineRule="auto"/>
              <w:rPr>
                <w:rFonts w:ascii="Calibri" w:eastAsia="Times New Roman" w:hAnsi="Calibri" w:cs="Calibri"/>
                <w:b/>
                <w:lang w:eastAsia="it-IT"/>
              </w:rPr>
            </w:pPr>
            <w:r>
              <w:rPr>
                <w:rFonts w:ascii="Calibri" w:eastAsia="Times New Roman" w:hAnsi="Calibri" w:cs="Calibri"/>
                <w:b/>
                <w:lang w:eastAsia="it-IT"/>
              </w:rPr>
              <w:t xml:space="preserve">Deficit/Pil </w:t>
            </w:r>
            <w:r w:rsidR="00C94670" w:rsidRPr="0070655A">
              <w:rPr>
                <w:rFonts w:ascii="Calibri" w:eastAsia="Times New Roman" w:hAnsi="Calibri" w:cs="Calibri"/>
                <w:b/>
                <w:lang w:eastAsia="it-IT"/>
              </w:rPr>
              <w:t xml:space="preserve">nello scenario </w:t>
            </w:r>
            <w:r w:rsidR="002D5F27">
              <w:rPr>
                <w:rFonts w:ascii="Calibri" w:eastAsia="Times New Roman" w:hAnsi="Calibri" w:cs="Calibri"/>
                <w:b/>
                <w:lang w:eastAsia="it-IT"/>
              </w:rPr>
              <w:t>NENS</w:t>
            </w:r>
          </w:p>
        </w:tc>
        <w:tc>
          <w:tcPr>
            <w:tcW w:w="72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C94670" w:rsidRPr="0070655A" w:rsidRDefault="00C94670" w:rsidP="000702A1">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-1,6 </w:t>
            </w:r>
          </w:p>
        </w:tc>
        <w:tc>
          <w:tcPr>
            <w:tcW w:w="0" w:type="auto"/>
            <w:tcBorders>
              <w:top w:val="nil"/>
              <w:left w:val="nil"/>
              <w:bottom w:val="single" w:sz="4" w:space="0" w:color="auto"/>
              <w:right w:val="nil"/>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-0,7 </w:t>
            </w:r>
          </w:p>
        </w:tc>
        <w:tc>
          <w:tcPr>
            <w:tcW w:w="0" w:type="auto"/>
            <w:tcBorders>
              <w:top w:val="nil"/>
              <w:left w:val="nil"/>
              <w:bottom w:val="single" w:sz="4" w:space="0" w:color="auto"/>
              <w:right w:val="nil"/>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0,2 </w:t>
            </w:r>
          </w:p>
        </w:tc>
        <w:tc>
          <w:tcPr>
            <w:tcW w:w="0" w:type="auto"/>
            <w:tcBorders>
              <w:top w:val="nil"/>
              <w:left w:val="nil"/>
              <w:bottom w:val="single" w:sz="4" w:space="0" w:color="auto"/>
              <w:right w:val="single" w:sz="4" w:space="0" w:color="auto"/>
            </w:tcBorders>
            <w:shd w:val="clear" w:color="auto" w:fill="auto"/>
            <w:noWrap/>
            <w:vAlign w:val="bottom"/>
            <w:hideMark/>
          </w:tcPr>
          <w:p w:rsidR="00C94670" w:rsidRPr="0070655A" w:rsidRDefault="00C94670" w:rsidP="000702A1">
            <w:pPr>
              <w:spacing w:after="0" w:line="240" w:lineRule="auto"/>
              <w:jc w:val="right"/>
              <w:rPr>
                <w:rFonts w:ascii="Calibri" w:eastAsia="Times New Roman" w:hAnsi="Calibri" w:cs="Calibri"/>
                <w:b/>
                <w:lang w:eastAsia="it-IT"/>
              </w:rPr>
            </w:pPr>
            <w:r w:rsidRPr="0070655A">
              <w:rPr>
                <w:rFonts w:ascii="Calibri" w:eastAsia="Times New Roman" w:hAnsi="Calibri" w:cs="Calibri"/>
                <w:b/>
                <w:lang w:eastAsia="it-IT"/>
              </w:rPr>
              <w:t xml:space="preserve">0,5 </w:t>
            </w:r>
          </w:p>
        </w:tc>
      </w:tr>
    </w:tbl>
    <w:p w:rsidR="001951D9" w:rsidRPr="0070655A" w:rsidRDefault="001951D9" w:rsidP="001951D9">
      <w:pPr>
        <w:jc w:val="both"/>
      </w:pPr>
      <w:r w:rsidRPr="0070655A">
        <w:t>Dalla tabella emerge con chiarezza come il contributo all’andamento delle finanze pubbliche italian</w:t>
      </w:r>
      <w:r>
        <w:t>e</w:t>
      </w:r>
      <w:r w:rsidRPr="0070655A">
        <w:t xml:space="preserve"> riconducibile alla politica di bilancio contenuta nella proposta sia sempre positivo e compless</w:t>
      </w:r>
      <w:r>
        <w:t>iva</w:t>
      </w:r>
      <w:r w:rsidRPr="0070655A">
        <w:t xml:space="preserve">mente pari, rispetto allo scenario base, a circa 0,6 punti di Pil. Inoltre, a fronte di un disavanzo iniziale di 1,6 punti di Pil atteso per la fine di quest’anno, la nostra proposta non pregiudicherebbe il raggiungimento del pareggio di bilancio per il 2020 delineato dall’ultimo DEF e potrebbe potenzialmente restituire un avanzo corrente di fine periodo superiore alle stime tendenziali del DEF 2018 e pari – nel complesso –  </w:t>
      </w:r>
      <w:r>
        <w:t>a</w:t>
      </w:r>
      <w:r w:rsidRPr="0070655A">
        <w:t xml:space="preserve"> circa 0,7 punti di PIL (all’incirca 12 miliardi di euro).</w:t>
      </w:r>
    </w:p>
    <w:p w:rsidR="00B94B25" w:rsidRPr="0070655A" w:rsidRDefault="00B94B25" w:rsidP="005D1710">
      <w:pPr>
        <w:spacing w:before="240" w:after="120"/>
        <w:jc w:val="both"/>
      </w:pPr>
      <w:r w:rsidRPr="0070655A">
        <w:t xml:space="preserve">Gran parte del merito </w:t>
      </w:r>
      <w:r w:rsidR="008B4655" w:rsidRPr="0070655A">
        <w:t>del</w:t>
      </w:r>
      <w:r w:rsidRPr="0070655A">
        <w:t xml:space="preserve">la correzione del rapporto deficit/PIL è attribuibile all’accelerazione della crescita </w:t>
      </w:r>
      <w:r w:rsidR="00413789" w:rsidRPr="0070655A">
        <w:t>reale</w:t>
      </w:r>
      <w:r w:rsidRPr="0070655A">
        <w:t xml:space="preserve"> generata dal taglio del cuneo fiscale e dall’aumento della spesa per investimenti. Se infatti si </w:t>
      </w:r>
      <w:r w:rsidRPr="0070655A">
        <w:lastRenderedPageBreak/>
        <w:t xml:space="preserve">mettono a confronto i dati riportati dalle prime due tabelle della nota (cfr. tabb. 1 &amp; 2), è facile osservare come la maggiore crescita indotta dall’implementazione della proposta sia in grado di compensare il maggior deficit indotto dalle misure </w:t>
      </w:r>
      <w:r w:rsidR="00093130" w:rsidRPr="0070655A">
        <w:t>qui proposte</w:t>
      </w:r>
      <w:r w:rsidRPr="0070655A">
        <w:t xml:space="preserve"> e, contestualmente, agire sul denominatore del rapporto </w:t>
      </w:r>
      <w:r w:rsidR="00660A68" w:rsidRPr="0070655A">
        <w:t>accelerando</w:t>
      </w:r>
      <w:r w:rsidRPr="0070655A">
        <w:t xml:space="preserve"> </w:t>
      </w:r>
      <w:r w:rsidR="00660A68" w:rsidRPr="0070655A">
        <w:t>l’</w:t>
      </w:r>
      <w:r w:rsidRPr="0070655A">
        <w:t>effetto “diluzione” del deficit già esistente.</w:t>
      </w:r>
    </w:p>
    <w:p w:rsidR="003D7DA3" w:rsidRPr="0070655A" w:rsidRDefault="003D7DA3" w:rsidP="001951D9">
      <w:pPr>
        <w:pStyle w:val="Didascalia"/>
        <w:keepNext/>
        <w:spacing w:before="240"/>
        <w:jc w:val="both"/>
        <w:rPr>
          <w:b/>
          <w:i w:val="0"/>
          <w:color w:val="auto"/>
        </w:rPr>
      </w:pPr>
      <w:r w:rsidRPr="0070655A">
        <w:rPr>
          <w:b/>
          <w:i w:val="0"/>
          <w:color w:val="auto"/>
        </w:rPr>
        <w:t xml:space="preserve">Tabella </w:t>
      </w:r>
      <w:r w:rsidRPr="0070655A">
        <w:rPr>
          <w:b/>
          <w:i w:val="0"/>
          <w:noProof/>
          <w:color w:val="auto"/>
        </w:rPr>
        <w:fldChar w:fldCharType="begin"/>
      </w:r>
      <w:r w:rsidRPr="0070655A">
        <w:rPr>
          <w:b/>
          <w:i w:val="0"/>
          <w:noProof/>
          <w:color w:val="auto"/>
        </w:rPr>
        <w:instrText xml:space="preserve"> SEQ Tabella \* ARABIC </w:instrText>
      </w:r>
      <w:r w:rsidRPr="0070655A">
        <w:rPr>
          <w:b/>
          <w:i w:val="0"/>
          <w:noProof/>
          <w:color w:val="auto"/>
        </w:rPr>
        <w:fldChar w:fldCharType="separate"/>
      </w:r>
      <w:r w:rsidRPr="0070655A">
        <w:rPr>
          <w:b/>
          <w:i w:val="0"/>
          <w:noProof/>
          <w:color w:val="auto"/>
        </w:rPr>
        <w:t>4</w:t>
      </w:r>
      <w:r w:rsidRPr="0070655A">
        <w:rPr>
          <w:b/>
          <w:i w:val="0"/>
          <w:noProof/>
          <w:color w:val="auto"/>
        </w:rPr>
        <w:fldChar w:fldCharType="end"/>
      </w:r>
      <w:r w:rsidRPr="0070655A">
        <w:rPr>
          <w:b/>
          <w:i w:val="0"/>
          <w:color w:val="auto"/>
        </w:rPr>
        <w:t xml:space="preserve">: Effetti della manovra sull’andamento del rapporto debito-PIL dell’Italia – Fonte: elaborazioni </w:t>
      </w:r>
      <w:r w:rsidR="002D5F27">
        <w:rPr>
          <w:b/>
          <w:i w:val="0"/>
          <w:color w:val="auto"/>
        </w:rPr>
        <w:t>NENS</w:t>
      </w:r>
      <w:r w:rsidR="001951D9">
        <w:rPr>
          <w:b/>
          <w:i w:val="0"/>
          <w:color w:val="auto"/>
        </w:rPr>
        <w:t>.</w:t>
      </w:r>
      <w:r w:rsidR="001951D9" w:rsidRPr="001951D9">
        <w:rPr>
          <w:b/>
          <w:i w:val="0"/>
          <w:color w:val="auto"/>
        </w:rPr>
        <w:t xml:space="preserve"> </w:t>
      </w:r>
      <w:r w:rsidR="001951D9">
        <w:rPr>
          <w:b/>
          <w:i w:val="0"/>
          <w:color w:val="auto"/>
        </w:rPr>
        <w:t>Eventuali non corrispondenze sono dovute agli arrotondamenti</w:t>
      </w:r>
    </w:p>
    <w:tbl>
      <w:tblPr>
        <w:tblW w:w="5000" w:type="pct"/>
        <w:tblCellMar>
          <w:left w:w="70" w:type="dxa"/>
          <w:right w:w="70" w:type="dxa"/>
        </w:tblCellMar>
        <w:tblLook w:val="04A0" w:firstRow="1" w:lastRow="0" w:firstColumn="1" w:lastColumn="0" w:noHBand="0" w:noVBand="1"/>
      </w:tblPr>
      <w:tblGrid>
        <w:gridCol w:w="6368"/>
        <w:gridCol w:w="695"/>
        <w:gridCol w:w="885"/>
        <w:gridCol w:w="695"/>
        <w:gridCol w:w="693"/>
      </w:tblGrid>
      <w:tr w:rsidR="003D7DA3" w:rsidRPr="00773528" w:rsidTr="00810710">
        <w:trPr>
          <w:trHeight w:val="290"/>
        </w:trPr>
        <w:tc>
          <w:tcPr>
            <w:tcW w:w="3411" w:type="pct"/>
            <w:tcBorders>
              <w:top w:val="single" w:sz="8" w:space="0" w:color="auto"/>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c>
          <w:tcPr>
            <w:tcW w:w="372" w:type="pct"/>
            <w:tcBorders>
              <w:top w:val="single" w:sz="8" w:space="0" w:color="auto"/>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jc w:val="center"/>
              <w:rPr>
                <w:rFonts w:ascii="Calibri" w:eastAsia="Times New Roman" w:hAnsi="Calibri" w:cs="Calibri"/>
                <w:b/>
                <w:bCs/>
                <w:color w:val="000000"/>
                <w:lang w:eastAsia="it-IT"/>
              </w:rPr>
            </w:pPr>
            <w:r w:rsidRPr="00773528">
              <w:rPr>
                <w:rFonts w:ascii="Calibri" w:eastAsia="Times New Roman" w:hAnsi="Calibri" w:cs="Calibri"/>
                <w:b/>
                <w:bCs/>
                <w:color w:val="000000"/>
                <w:lang w:eastAsia="it-IT"/>
              </w:rPr>
              <w:t>2018</w:t>
            </w:r>
          </w:p>
        </w:tc>
        <w:tc>
          <w:tcPr>
            <w:tcW w:w="474" w:type="pct"/>
            <w:tcBorders>
              <w:top w:val="single" w:sz="8" w:space="0" w:color="auto"/>
              <w:left w:val="nil"/>
              <w:bottom w:val="nil"/>
              <w:right w:val="nil"/>
            </w:tcBorders>
            <w:shd w:val="clear" w:color="auto" w:fill="auto"/>
            <w:noWrap/>
            <w:vAlign w:val="center"/>
            <w:hideMark/>
          </w:tcPr>
          <w:p w:rsidR="003D7DA3" w:rsidRPr="00773528" w:rsidRDefault="003D7DA3" w:rsidP="00810710">
            <w:pPr>
              <w:spacing w:after="0" w:line="240" w:lineRule="auto"/>
              <w:jc w:val="center"/>
              <w:rPr>
                <w:rFonts w:ascii="Calibri" w:eastAsia="Times New Roman" w:hAnsi="Calibri" w:cs="Calibri"/>
                <w:b/>
                <w:bCs/>
                <w:color w:val="000000"/>
                <w:lang w:eastAsia="it-IT"/>
              </w:rPr>
            </w:pPr>
            <w:r w:rsidRPr="00773528">
              <w:rPr>
                <w:rFonts w:ascii="Calibri" w:eastAsia="Times New Roman" w:hAnsi="Calibri" w:cs="Calibri"/>
                <w:b/>
                <w:bCs/>
                <w:color w:val="000000"/>
                <w:lang w:eastAsia="it-IT"/>
              </w:rPr>
              <w:t>2019</w:t>
            </w:r>
          </w:p>
        </w:tc>
        <w:tc>
          <w:tcPr>
            <w:tcW w:w="372" w:type="pct"/>
            <w:tcBorders>
              <w:top w:val="single" w:sz="8" w:space="0" w:color="auto"/>
              <w:left w:val="nil"/>
              <w:bottom w:val="nil"/>
              <w:right w:val="nil"/>
            </w:tcBorders>
            <w:shd w:val="clear" w:color="auto" w:fill="auto"/>
            <w:noWrap/>
            <w:vAlign w:val="center"/>
            <w:hideMark/>
          </w:tcPr>
          <w:p w:rsidR="003D7DA3" w:rsidRPr="00773528" w:rsidRDefault="003D7DA3" w:rsidP="00810710">
            <w:pPr>
              <w:spacing w:after="0" w:line="240" w:lineRule="auto"/>
              <w:jc w:val="center"/>
              <w:rPr>
                <w:rFonts w:ascii="Calibri" w:eastAsia="Times New Roman" w:hAnsi="Calibri" w:cs="Calibri"/>
                <w:b/>
                <w:bCs/>
                <w:color w:val="000000"/>
                <w:lang w:eastAsia="it-IT"/>
              </w:rPr>
            </w:pPr>
            <w:r w:rsidRPr="00773528">
              <w:rPr>
                <w:rFonts w:ascii="Calibri" w:eastAsia="Times New Roman" w:hAnsi="Calibri" w:cs="Calibri"/>
                <w:b/>
                <w:bCs/>
                <w:color w:val="000000"/>
                <w:lang w:eastAsia="it-IT"/>
              </w:rPr>
              <w:t>2020</w:t>
            </w:r>
          </w:p>
        </w:tc>
        <w:tc>
          <w:tcPr>
            <w:tcW w:w="372" w:type="pct"/>
            <w:tcBorders>
              <w:top w:val="single" w:sz="8" w:space="0" w:color="auto"/>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center"/>
              <w:rPr>
                <w:rFonts w:ascii="Calibri" w:eastAsia="Times New Roman" w:hAnsi="Calibri" w:cs="Calibri"/>
                <w:b/>
                <w:bCs/>
                <w:color w:val="000000"/>
                <w:lang w:eastAsia="it-IT"/>
              </w:rPr>
            </w:pPr>
            <w:r w:rsidRPr="00773528">
              <w:rPr>
                <w:rFonts w:ascii="Calibri" w:eastAsia="Times New Roman" w:hAnsi="Calibri" w:cs="Calibri"/>
                <w:b/>
                <w:bCs/>
                <w:color w:val="000000"/>
                <w:lang w:eastAsia="it-IT"/>
              </w:rPr>
              <w:t>2021</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b/>
                <w:bCs/>
                <w:color w:val="000000"/>
                <w:lang w:eastAsia="it-IT"/>
              </w:rPr>
            </w:pPr>
            <w:r w:rsidRPr="00773528">
              <w:rPr>
                <w:rFonts w:ascii="Calibri" w:eastAsia="Times New Roman" w:hAnsi="Calibri" w:cs="Calibri"/>
                <w:b/>
                <w:bCs/>
                <w:color w:val="000000"/>
                <w:lang w:eastAsia="it-IT"/>
              </w:rPr>
              <w:t>Debito/Pil nello scenario base</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130,8</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128,2</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125,0</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122,4</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jc w:val="right"/>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c>
          <w:tcPr>
            <w:tcW w:w="474" w:type="pct"/>
            <w:tcBorders>
              <w:top w:val="nil"/>
              <w:left w:val="nil"/>
              <w:bottom w:val="nil"/>
              <w:right w:val="nil"/>
            </w:tcBorders>
            <w:shd w:val="clear" w:color="auto" w:fill="auto"/>
            <w:noWrap/>
            <w:vAlign w:val="bottom"/>
            <w:hideMark/>
          </w:tcPr>
          <w:p w:rsidR="003D7DA3" w:rsidRPr="00773528" w:rsidRDefault="003D7DA3" w:rsidP="00810710">
            <w:pPr>
              <w:spacing w:after="0" w:line="240" w:lineRule="auto"/>
              <w:jc w:val="right"/>
              <w:rPr>
                <w:rFonts w:ascii="Calibri" w:eastAsia="Times New Roman" w:hAnsi="Calibri" w:cs="Calibri"/>
                <w:color w:val="000000"/>
                <w:lang w:eastAsia="it-IT"/>
              </w:rPr>
            </w:pPr>
          </w:p>
        </w:tc>
        <w:tc>
          <w:tcPr>
            <w:tcW w:w="372" w:type="pct"/>
            <w:tcBorders>
              <w:top w:val="nil"/>
              <w:left w:val="nil"/>
              <w:bottom w:val="nil"/>
              <w:right w:val="nil"/>
            </w:tcBorders>
            <w:shd w:val="clear" w:color="auto" w:fill="auto"/>
            <w:noWrap/>
            <w:vAlign w:val="bottom"/>
            <w:hideMark/>
          </w:tcPr>
          <w:p w:rsidR="003D7DA3" w:rsidRPr="00773528" w:rsidRDefault="003D7DA3" w:rsidP="00810710">
            <w:pPr>
              <w:spacing w:after="0" w:line="240" w:lineRule="auto"/>
              <w:rPr>
                <w:rFonts w:ascii="Times New Roman" w:eastAsia="Times New Roman" w:hAnsi="Times New Roman" w:cs="Times New Roman"/>
                <w:sz w:val="20"/>
                <w:szCs w:val="20"/>
                <w:lang w:eastAsia="it-IT"/>
              </w:rPr>
            </w:pP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1951D9" w:rsidP="00810710">
            <w:pPr>
              <w:spacing w:after="0" w:line="240" w:lineRule="auto"/>
              <w:rPr>
                <w:rFonts w:ascii="Calibri" w:eastAsia="Times New Roman" w:hAnsi="Calibri" w:cs="Calibri"/>
                <w:b/>
                <w:bCs/>
                <w:color w:val="000000"/>
                <w:sz w:val="20"/>
                <w:szCs w:val="20"/>
                <w:lang w:eastAsia="it-IT"/>
              </w:rPr>
            </w:pPr>
            <w:r>
              <w:rPr>
                <w:rFonts w:ascii="Calibri" w:eastAsia="Times New Roman" w:hAnsi="Calibri" w:cs="Calibri"/>
                <w:b/>
                <w:bCs/>
                <w:color w:val="000000"/>
                <w:sz w:val="20"/>
                <w:szCs w:val="20"/>
                <w:lang w:eastAsia="it-IT"/>
              </w:rPr>
              <w:t xml:space="preserve">Contributo </w:t>
            </w:r>
            <w:r w:rsidR="003D7DA3" w:rsidRPr="00773528">
              <w:rPr>
                <w:rFonts w:ascii="Calibri" w:eastAsia="Times New Roman" w:hAnsi="Calibri" w:cs="Calibri"/>
                <w:b/>
                <w:bCs/>
                <w:color w:val="000000"/>
                <w:sz w:val="20"/>
                <w:szCs w:val="20"/>
                <w:lang w:eastAsia="it-IT"/>
              </w:rPr>
              <w:t>della manovra: (deviazione rispetto allo scenario base)</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jc w:val="right"/>
              <w:rPr>
                <w:rFonts w:ascii="Calibri" w:eastAsia="Times New Roman" w:hAnsi="Calibri" w:cs="Calibri"/>
                <w:b/>
                <w:bCs/>
                <w:color w:val="000000"/>
                <w:sz w:val="20"/>
                <w:szCs w:val="20"/>
                <w:lang w:eastAsia="it-IT"/>
              </w:rPr>
            </w:pPr>
            <w:r w:rsidRPr="00773528">
              <w:rPr>
                <w:rFonts w:ascii="Calibri" w:eastAsia="Times New Roman" w:hAnsi="Calibri" w:cs="Calibri"/>
                <w:b/>
                <w:bCs/>
                <w:color w:val="000000"/>
                <w:sz w:val="20"/>
                <w:szCs w:val="2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color w:val="000000"/>
                <w:sz w:val="20"/>
                <w:szCs w:val="20"/>
                <w:lang w:eastAsia="it-IT"/>
              </w:rPr>
            </w:pPr>
            <w:r w:rsidRPr="00773528">
              <w:rPr>
                <w:rFonts w:ascii="Calibri" w:eastAsia="Times New Roman" w:hAnsi="Calibri" w:cs="Calibri"/>
                <w:b/>
                <w:bCs/>
                <w:color w:val="000000"/>
                <w:sz w:val="20"/>
                <w:szCs w:val="20"/>
                <w:lang w:eastAsia="it-IT"/>
              </w:rPr>
              <w:t>-0,1</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color w:val="000000"/>
                <w:sz w:val="20"/>
                <w:szCs w:val="20"/>
                <w:lang w:eastAsia="it-IT"/>
              </w:rPr>
            </w:pPr>
            <w:r w:rsidRPr="00773528">
              <w:rPr>
                <w:rFonts w:ascii="Calibri" w:eastAsia="Times New Roman" w:hAnsi="Calibri" w:cs="Calibri"/>
                <w:b/>
                <w:bCs/>
                <w:color w:val="000000"/>
                <w:sz w:val="20"/>
                <w:szCs w:val="20"/>
                <w:lang w:eastAsia="it-IT"/>
              </w:rPr>
              <w:t>-0,2</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color w:val="000000"/>
                <w:sz w:val="20"/>
                <w:szCs w:val="20"/>
                <w:lang w:eastAsia="it-IT"/>
              </w:rPr>
            </w:pPr>
            <w:r w:rsidRPr="00773528">
              <w:rPr>
                <w:rFonts w:ascii="Calibri" w:eastAsia="Times New Roman" w:hAnsi="Calibri" w:cs="Calibri"/>
                <w:b/>
                <w:bCs/>
                <w:color w:val="000000"/>
                <w:sz w:val="20"/>
                <w:szCs w:val="20"/>
                <w:lang w:eastAsia="it-IT"/>
              </w:rPr>
              <w:t>-0,3</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Riforma IRPE</w:t>
            </w:r>
            <w:r w:rsidR="000D121A">
              <w:rPr>
                <w:rFonts w:ascii="Calibri" w:eastAsia="Times New Roman" w:hAnsi="Calibri" w:cs="Calibri"/>
                <w:i/>
                <w:iCs/>
                <w:color w:val="000000"/>
                <w:lang w:eastAsia="it-IT"/>
              </w:rPr>
              <w:t>F</w:t>
            </w:r>
            <w:r w:rsidRPr="00773528">
              <w:rPr>
                <w:rFonts w:ascii="Calibri" w:eastAsia="Times New Roman" w:hAnsi="Calibri" w:cs="Calibri"/>
                <w:i/>
                <w:iCs/>
                <w:color w:val="000000"/>
                <w:lang w:eastAsia="it-IT"/>
              </w:rPr>
              <w:t xml:space="preserve"> e dell’assegno di famiglia</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1,1</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0,8</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0,7</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xml:space="preserve">Riduzione </w:t>
            </w:r>
            <w:r w:rsidR="002D5F27">
              <w:rPr>
                <w:rFonts w:ascii="Calibri" w:eastAsia="Times New Roman" w:hAnsi="Calibri" w:cs="Calibri"/>
                <w:i/>
                <w:iCs/>
                <w:color w:val="000000"/>
                <w:lang w:eastAsia="it-IT"/>
              </w:rPr>
              <w:t>IRES</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0,6</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0,4</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0,3</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xml:space="preserve">Riduzione contributi sociali ed Eliminazione </w:t>
            </w:r>
            <w:r w:rsidR="002D5F27">
              <w:rPr>
                <w:rFonts w:ascii="Calibri" w:eastAsia="Times New Roman" w:hAnsi="Calibri" w:cs="Calibri"/>
                <w:i/>
                <w:iCs/>
                <w:color w:val="000000"/>
                <w:lang w:eastAsia="it-IT"/>
              </w:rPr>
              <w:t>IRAP</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5,0</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2,4</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1,6</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Abolizione permanente delle clausole di salvaguardia</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0,7</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0,9</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0,7</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Incremento della spesa per investimenti</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0,2</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0,3</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0,5</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Contrasto all'evasione</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-6,0</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-4,0</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-3,8</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Introduzione Imposta per il welfare</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 </w:t>
            </w:r>
          </w:p>
        </w:tc>
        <w:tc>
          <w:tcPr>
            <w:tcW w:w="474"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-1,7</w:t>
            </w:r>
          </w:p>
        </w:tc>
        <w:tc>
          <w:tcPr>
            <w:tcW w:w="372" w:type="pct"/>
            <w:tcBorders>
              <w:top w:val="nil"/>
              <w:left w:val="nil"/>
              <w:bottom w:val="nil"/>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-1,0</w:t>
            </w: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i/>
                <w:iCs/>
                <w:color w:val="000000"/>
                <w:lang w:eastAsia="it-IT"/>
              </w:rPr>
            </w:pPr>
            <w:r w:rsidRPr="00773528">
              <w:rPr>
                <w:rFonts w:ascii="Calibri" w:eastAsia="Times New Roman" w:hAnsi="Calibri" w:cs="Calibri"/>
                <w:i/>
                <w:iCs/>
                <w:color w:val="000000"/>
                <w:lang w:eastAsia="it-IT"/>
              </w:rPr>
              <w:t>-0,3</w:t>
            </w:r>
          </w:p>
        </w:tc>
      </w:tr>
      <w:tr w:rsidR="003D7DA3" w:rsidRPr="00773528" w:rsidTr="00810710">
        <w:trPr>
          <w:trHeight w:val="290"/>
        </w:trPr>
        <w:tc>
          <w:tcPr>
            <w:tcW w:w="3411" w:type="pct"/>
            <w:tcBorders>
              <w:top w:val="nil"/>
              <w:left w:val="single" w:sz="8" w:space="0" w:color="auto"/>
              <w:bottom w:val="nil"/>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c>
          <w:tcPr>
            <w:tcW w:w="372" w:type="pct"/>
            <w:tcBorders>
              <w:top w:val="nil"/>
              <w:left w:val="single" w:sz="8" w:space="0" w:color="auto"/>
              <w:bottom w:val="nil"/>
              <w:right w:val="single" w:sz="8" w:space="0" w:color="auto"/>
            </w:tcBorders>
            <w:shd w:val="clear" w:color="000000" w:fill="D9D9D9"/>
            <w:noWrap/>
            <w:vAlign w:val="center"/>
            <w:hideMark/>
          </w:tcPr>
          <w:p w:rsidR="003D7DA3" w:rsidRPr="00773528" w:rsidRDefault="003D7DA3" w:rsidP="00810710">
            <w:pPr>
              <w:spacing w:after="0" w:line="240" w:lineRule="auto"/>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c>
          <w:tcPr>
            <w:tcW w:w="474" w:type="pct"/>
            <w:tcBorders>
              <w:top w:val="nil"/>
              <w:left w:val="nil"/>
              <w:bottom w:val="nil"/>
              <w:right w:val="nil"/>
            </w:tcBorders>
            <w:shd w:val="clear" w:color="auto" w:fill="auto"/>
            <w:noWrap/>
            <w:vAlign w:val="bottom"/>
            <w:hideMark/>
          </w:tcPr>
          <w:p w:rsidR="003D7DA3" w:rsidRPr="00773528" w:rsidRDefault="003D7DA3" w:rsidP="00810710">
            <w:pPr>
              <w:spacing w:after="0" w:line="240" w:lineRule="auto"/>
              <w:rPr>
                <w:rFonts w:ascii="Calibri" w:eastAsia="Times New Roman" w:hAnsi="Calibri" w:cs="Calibri"/>
                <w:color w:val="000000"/>
                <w:lang w:eastAsia="it-IT"/>
              </w:rPr>
            </w:pPr>
          </w:p>
        </w:tc>
        <w:tc>
          <w:tcPr>
            <w:tcW w:w="372" w:type="pct"/>
            <w:tcBorders>
              <w:top w:val="nil"/>
              <w:left w:val="nil"/>
              <w:bottom w:val="nil"/>
              <w:right w:val="nil"/>
            </w:tcBorders>
            <w:shd w:val="clear" w:color="auto" w:fill="auto"/>
            <w:noWrap/>
            <w:vAlign w:val="bottom"/>
            <w:hideMark/>
          </w:tcPr>
          <w:p w:rsidR="003D7DA3" w:rsidRPr="00773528" w:rsidRDefault="003D7DA3" w:rsidP="00810710">
            <w:pPr>
              <w:spacing w:after="0" w:line="240" w:lineRule="auto"/>
              <w:rPr>
                <w:rFonts w:ascii="Times New Roman" w:eastAsia="Times New Roman" w:hAnsi="Times New Roman" w:cs="Times New Roman"/>
                <w:sz w:val="20"/>
                <w:szCs w:val="20"/>
                <w:lang w:eastAsia="it-IT"/>
              </w:rPr>
            </w:pPr>
          </w:p>
        </w:tc>
        <w:tc>
          <w:tcPr>
            <w:tcW w:w="372" w:type="pct"/>
            <w:tcBorders>
              <w:top w:val="nil"/>
              <w:left w:val="nil"/>
              <w:bottom w:val="nil"/>
              <w:right w:val="single" w:sz="8" w:space="0" w:color="auto"/>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color w:val="000000"/>
                <w:lang w:eastAsia="it-IT"/>
              </w:rPr>
            </w:pPr>
            <w:r w:rsidRPr="00773528">
              <w:rPr>
                <w:rFonts w:ascii="Calibri" w:eastAsia="Times New Roman" w:hAnsi="Calibri" w:cs="Calibri"/>
                <w:color w:val="000000"/>
                <w:lang w:eastAsia="it-IT"/>
              </w:rPr>
              <w:t> </w:t>
            </w:r>
          </w:p>
        </w:tc>
      </w:tr>
      <w:tr w:rsidR="003D7DA3" w:rsidRPr="00773528" w:rsidTr="00810710">
        <w:trPr>
          <w:trHeight w:val="300"/>
        </w:trPr>
        <w:tc>
          <w:tcPr>
            <w:tcW w:w="3411" w:type="pct"/>
            <w:tcBorders>
              <w:top w:val="nil"/>
              <w:left w:val="single" w:sz="8" w:space="0" w:color="auto"/>
              <w:bottom w:val="single" w:sz="8" w:space="0" w:color="auto"/>
              <w:right w:val="nil"/>
            </w:tcBorders>
            <w:shd w:val="clear" w:color="auto" w:fill="auto"/>
            <w:noWrap/>
            <w:vAlign w:val="center"/>
            <w:hideMark/>
          </w:tcPr>
          <w:p w:rsidR="003D7DA3" w:rsidRPr="00773528" w:rsidRDefault="003D7DA3" w:rsidP="00810710">
            <w:pPr>
              <w:spacing w:after="0" w:line="240" w:lineRule="auto"/>
              <w:rPr>
                <w:rFonts w:ascii="Calibri" w:eastAsia="Times New Roman" w:hAnsi="Calibri" w:cs="Calibri"/>
                <w:b/>
                <w:bCs/>
                <w:lang w:eastAsia="it-IT"/>
              </w:rPr>
            </w:pPr>
            <w:r w:rsidRPr="00773528">
              <w:rPr>
                <w:rFonts w:ascii="Calibri" w:eastAsia="Times New Roman" w:hAnsi="Calibri" w:cs="Calibri"/>
                <w:b/>
                <w:bCs/>
                <w:lang w:eastAsia="it-IT"/>
              </w:rPr>
              <w:t xml:space="preserve">Debito/Pil nello scenario </w:t>
            </w:r>
            <w:r w:rsidR="002D5F27">
              <w:rPr>
                <w:rFonts w:ascii="Calibri" w:eastAsia="Times New Roman" w:hAnsi="Calibri" w:cs="Calibri"/>
                <w:b/>
                <w:bCs/>
                <w:lang w:eastAsia="it-IT"/>
              </w:rPr>
              <w:t>NENS</w:t>
            </w:r>
          </w:p>
        </w:tc>
        <w:tc>
          <w:tcPr>
            <w:tcW w:w="372" w:type="pct"/>
            <w:tcBorders>
              <w:top w:val="nil"/>
              <w:left w:val="single" w:sz="8" w:space="0" w:color="auto"/>
              <w:bottom w:val="single" w:sz="8" w:space="0" w:color="auto"/>
              <w:right w:val="single" w:sz="8" w:space="0" w:color="auto"/>
            </w:tcBorders>
            <w:shd w:val="clear" w:color="000000" w:fill="D9D9D9"/>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130,8</w:t>
            </w:r>
          </w:p>
        </w:tc>
        <w:tc>
          <w:tcPr>
            <w:tcW w:w="474" w:type="pct"/>
            <w:tcBorders>
              <w:top w:val="nil"/>
              <w:left w:val="nil"/>
              <w:bottom w:val="single" w:sz="8" w:space="0" w:color="auto"/>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128,1</w:t>
            </w:r>
          </w:p>
        </w:tc>
        <w:tc>
          <w:tcPr>
            <w:tcW w:w="372" w:type="pct"/>
            <w:tcBorders>
              <w:top w:val="nil"/>
              <w:left w:val="nil"/>
              <w:bottom w:val="single" w:sz="8" w:space="0" w:color="auto"/>
              <w:right w:val="nil"/>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124,8</w:t>
            </w:r>
          </w:p>
        </w:tc>
        <w:tc>
          <w:tcPr>
            <w:tcW w:w="372" w:type="pct"/>
            <w:tcBorders>
              <w:top w:val="nil"/>
              <w:left w:val="nil"/>
              <w:bottom w:val="single" w:sz="8" w:space="0" w:color="auto"/>
              <w:right w:val="single" w:sz="8" w:space="0" w:color="auto"/>
            </w:tcBorders>
            <w:shd w:val="clear" w:color="auto" w:fill="auto"/>
            <w:noWrap/>
            <w:vAlign w:val="center"/>
            <w:hideMark/>
          </w:tcPr>
          <w:p w:rsidR="003D7DA3" w:rsidRPr="00773528" w:rsidRDefault="003D7DA3" w:rsidP="00810710">
            <w:pPr>
              <w:spacing w:after="0" w:line="240" w:lineRule="auto"/>
              <w:jc w:val="right"/>
              <w:rPr>
                <w:rFonts w:ascii="Calibri" w:eastAsia="Times New Roman" w:hAnsi="Calibri" w:cs="Calibri"/>
                <w:b/>
                <w:bCs/>
                <w:lang w:eastAsia="it-IT"/>
              </w:rPr>
            </w:pPr>
            <w:r w:rsidRPr="00773528">
              <w:rPr>
                <w:rFonts w:ascii="Calibri" w:eastAsia="Times New Roman" w:hAnsi="Calibri" w:cs="Calibri"/>
                <w:b/>
                <w:bCs/>
                <w:lang w:eastAsia="it-IT"/>
              </w:rPr>
              <w:t>122,1</w:t>
            </w:r>
          </w:p>
        </w:tc>
      </w:tr>
    </w:tbl>
    <w:p w:rsidR="00660A68" w:rsidRPr="0070655A" w:rsidRDefault="008B4655" w:rsidP="00483986">
      <w:pPr>
        <w:spacing w:before="160"/>
        <w:jc w:val="both"/>
      </w:pPr>
      <w:r w:rsidRPr="0070655A">
        <w:t xml:space="preserve">Il buon andamento del rapporto debito/PIL ha inevitabilmente ripercussioni positive anche sulla dinamica dello stock del debito rispetto al PIL. Il dettaglio degli effetti per il triennio 2019-2021 sono riportati nella tab.4. </w:t>
      </w:r>
      <w:r w:rsidR="00660A68" w:rsidRPr="0070655A">
        <w:t xml:space="preserve">Nel costruire la tabella, l’esercizio di simulazione ha lasciato inalterate tutte le prospettive dinamiche relative all’andamento dello stock del debito contenute nel DEF 2018 e studiato solamente gli effetti restrittivi dovuti alla gestione dell’andamento dell’indebitamento netto della Pubblica Amministrazione contenuta nella proposta. </w:t>
      </w:r>
    </w:p>
    <w:p w:rsidR="00471AC2" w:rsidRPr="0070655A" w:rsidRDefault="008C686E" w:rsidP="00BF614F">
      <w:pPr>
        <w:jc w:val="both"/>
      </w:pPr>
      <w:r w:rsidRPr="0070655A">
        <w:t>Rispetto allo</w:t>
      </w:r>
      <w:r w:rsidR="00C32921" w:rsidRPr="0070655A">
        <w:t xml:space="preserve"> scenario base</w:t>
      </w:r>
      <w:r w:rsidRPr="0070655A">
        <w:t>, il contributo</w:t>
      </w:r>
      <w:r w:rsidR="00817CC6" w:rsidRPr="0070655A">
        <w:t xml:space="preserve"> complessivo della proposta al</w:t>
      </w:r>
      <w:r w:rsidRPr="0070655A">
        <w:t xml:space="preserve">l’abbattimento del rapporto debito/PIL </w:t>
      </w:r>
      <w:r w:rsidR="00817CC6" w:rsidRPr="0070655A">
        <w:t xml:space="preserve">è </w:t>
      </w:r>
      <w:r w:rsidRPr="0070655A">
        <w:t>valuta</w:t>
      </w:r>
      <w:r w:rsidR="00B1539F" w:rsidRPr="0070655A">
        <w:t xml:space="preserve">bile, fine periodo, in circa </w:t>
      </w:r>
      <w:r w:rsidR="00B1539F" w:rsidRPr="007E56E9">
        <w:t>8,7</w:t>
      </w:r>
      <w:r w:rsidRPr="007E56E9">
        <w:t xml:space="preserve"> punti</w:t>
      </w:r>
      <w:r w:rsidR="00817CC6" w:rsidRPr="0070655A">
        <w:t>, a fronte di un</w:t>
      </w:r>
      <w:r w:rsidRPr="0070655A">
        <w:t xml:space="preserve"> calo atteso nello scenario tendenziale </w:t>
      </w:r>
      <w:r w:rsidR="00C32921" w:rsidRPr="0070655A">
        <w:t xml:space="preserve">aggiornato per gli effetti del ciclo </w:t>
      </w:r>
      <w:r w:rsidR="0070655A" w:rsidRPr="0070655A">
        <w:t xml:space="preserve">che non supera </w:t>
      </w:r>
      <w:r w:rsidR="007742E7">
        <w:t>gl</w:t>
      </w:r>
      <w:r w:rsidR="0070655A" w:rsidRPr="0070655A">
        <w:t>i</w:t>
      </w:r>
      <w:r w:rsidR="00B1539F" w:rsidRPr="0070655A">
        <w:t xml:space="preserve"> </w:t>
      </w:r>
      <w:r w:rsidR="00B1539F" w:rsidRPr="000702A1">
        <w:t>8,4</w:t>
      </w:r>
      <w:r w:rsidRPr="000702A1">
        <w:t xml:space="preserve"> punti</w:t>
      </w:r>
      <w:r w:rsidRPr="0070655A">
        <w:t>. A contribuire maggiormente alla discesa del debito è soprattutto l’accelerazione della correzione del rapporto deficit</w:t>
      </w:r>
      <w:r w:rsidR="00C42F49" w:rsidRPr="0070655A">
        <w:t>/Pil</w:t>
      </w:r>
      <w:r w:rsidR="004F02C8" w:rsidRPr="0070655A">
        <w:t xml:space="preserve"> apprezzabile</w:t>
      </w:r>
      <w:r w:rsidR="0070655A" w:rsidRPr="0070655A">
        <w:t>, soprattutto,</w:t>
      </w:r>
      <w:r w:rsidR="004F02C8" w:rsidRPr="0070655A">
        <w:t xml:space="preserve"> in prossimità degli ultimi due anni della serie.</w:t>
      </w:r>
    </w:p>
    <w:p w:rsidR="00B82D9E" w:rsidRPr="0070655A" w:rsidRDefault="00B82D9E" w:rsidP="00B82D9E">
      <w:pPr>
        <w:pStyle w:val="Titolo1"/>
        <w:rPr>
          <w:color w:val="auto"/>
        </w:rPr>
      </w:pPr>
      <w:r w:rsidRPr="0070655A">
        <w:rPr>
          <w:color w:val="auto"/>
        </w:rPr>
        <w:t>Conclusioni</w:t>
      </w:r>
    </w:p>
    <w:p w:rsidR="00B82D9E" w:rsidRPr="0070655A" w:rsidRDefault="00B82D9E" w:rsidP="00B82D9E">
      <w:r w:rsidRPr="0070655A">
        <w:t xml:space="preserve">In questa nota abbiamo riassunto i principali effetti macroeconomici che l’implementazione della proposta </w:t>
      </w:r>
      <w:r w:rsidR="002D5F27">
        <w:t>NENS</w:t>
      </w:r>
      <w:r w:rsidRPr="0070655A">
        <w:t xml:space="preserve"> genererebbe sull’andamento del reddito reale italiano e sulle condizioni della nostra finanza pubblica. A fronte di un’espansione fiscale compless</w:t>
      </w:r>
      <w:r w:rsidR="001951D9">
        <w:t>iva</w:t>
      </w:r>
      <w:r w:rsidRPr="0070655A">
        <w:t xml:space="preserve"> quantificabile in circa 54 miliardi di euro in tre anni, dalle nostre simulazioni emergono i seguenti risultati:</w:t>
      </w:r>
    </w:p>
    <w:p w:rsidR="00B82D9E" w:rsidRPr="0070655A" w:rsidRDefault="00B82D9E" w:rsidP="00B82D9E">
      <w:pPr>
        <w:pStyle w:val="Paragrafoelenco"/>
        <w:numPr>
          <w:ilvl w:val="0"/>
          <w:numId w:val="6"/>
        </w:numPr>
        <w:jc w:val="both"/>
      </w:pPr>
      <w:r w:rsidRPr="0070655A">
        <w:t>La creazione di ma</w:t>
      </w:r>
      <w:r w:rsidR="00692473" w:rsidRPr="0070655A">
        <w:t>ggior reddito per complessivi 98</w:t>
      </w:r>
      <w:r w:rsidRPr="0070655A">
        <w:t xml:space="preserve"> miliardi di euro;</w:t>
      </w:r>
    </w:p>
    <w:p w:rsidR="00B82D9E" w:rsidRPr="0070655A" w:rsidRDefault="00B82D9E" w:rsidP="00B82D9E">
      <w:pPr>
        <w:pStyle w:val="Paragrafoelenco"/>
        <w:numPr>
          <w:ilvl w:val="0"/>
          <w:numId w:val="6"/>
        </w:numPr>
        <w:jc w:val="both"/>
      </w:pPr>
      <w:r w:rsidRPr="0070655A">
        <w:t>L’innalzamento del sentiero di espansione del Pil di</w:t>
      </w:r>
      <w:r w:rsidR="0093438E" w:rsidRPr="0070655A">
        <w:t xml:space="preserve"> circa</w:t>
      </w:r>
      <w:r w:rsidRPr="0070655A">
        <w:t xml:space="preserve"> 1 punto percentuale in media all’anno;</w:t>
      </w:r>
    </w:p>
    <w:p w:rsidR="00B82D9E" w:rsidRPr="008768FA" w:rsidRDefault="00B82D9E" w:rsidP="00B82D9E">
      <w:pPr>
        <w:pStyle w:val="Paragrafoelenco"/>
        <w:numPr>
          <w:ilvl w:val="0"/>
          <w:numId w:val="6"/>
        </w:numPr>
        <w:jc w:val="both"/>
      </w:pPr>
      <w:r w:rsidRPr="0070655A">
        <w:t xml:space="preserve">Un’accelerazione del cammino di risanamento delle finanze pubbliche tale da confermare il pareggio nominale di bilancio per il 2020, innalzare il surplus primario in maniera stabile e </w:t>
      </w:r>
      <w:r w:rsidRPr="000702A1">
        <w:t xml:space="preserve">permanente, e generare, a fine periodo, </w:t>
      </w:r>
      <w:r w:rsidRPr="008768FA">
        <w:t>un avanzo di bilancio pari a circa 1</w:t>
      </w:r>
      <w:r w:rsidR="003D7DA3" w:rsidRPr="008768FA">
        <w:t>/2</w:t>
      </w:r>
      <w:r w:rsidRPr="008768FA">
        <w:t xml:space="preserve"> punto di Pil;</w:t>
      </w:r>
    </w:p>
    <w:p w:rsidR="00B82D9E" w:rsidRPr="008768FA" w:rsidRDefault="00B82D9E" w:rsidP="00B82D9E">
      <w:pPr>
        <w:pStyle w:val="Paragrafoelenco"/>
        <w:numPr>
          <w:ilvl w:val="0"/>
          <w:numId w:val="6"/>
        </w:numPr>
        <w:jc w:val="both"/>
      </w:pPr>
      <w:r w:rsidRPr="008768FA">
        <w:t>Il raggiungimento di un rapporto debito/Pil più basso di</w:t>
      </w:r>
      <w:r w:rsidR="003D7DA3" w:rsidRPr="008768FA">
        <w:t xml:space="preserve"> quasi</w:t>
      </w:r>
      <w:r w:rsidRPr="008768FA">
        <w:t xml:space="preserve"> 0,</w:t>
      </w:r>
      <w:r w:rsidR="003D7DA3" w:rsidRPr="008768FA">
        <w:t>9</w:t>
      </w:r>
      <w:r w:rsidRPr="008768FA">
        <w:t xml:space="preserve"> punti rispetto a</w:t>
      </w:r>
      <w:r w:rsidR="003D7DA3" w:rsidRPr="008768FA">
        <w:t xml:space="preserve"> quello previsto per la fine del 2018</w:t>
      </w:r>
    </w:p>
    <w:p w:rsidR="00B82D9E" w:rsidRPr="0070655A" w:rsidRDefault="00B82D9E" w:rsidP="00B82D9E">
      <w:pPr>
        <w:jc w:val="both"/>
      </w:pPr>
      <w:r w:rsidRPr="0070655A">
        <w:t xml:space="preserve">Con riferimento al punto 2), va detto che il nostro esercizio non ha voluto tener conto del fatto che un eventuale spostamento al 2022 del pareggio nominale di bilancio potrebbe liberare ulteriori risorse da </w:t>
      </w:r>
      <w:r w:rsidRPr="0070655A">
        <w:lastRenderedPageBreak/>
        <w:t>destinare alla crescita e ad un ulteriore abbassamento della pressione fiscale. Risorse che espresse in termini dell’attuale livello del Pi</w:t>
      </w:r>
      <w:r w:rsidR="0070655A" w:rsidRPr="0070655A">
        <w:t>l potrebbero anche sfiorare i 12</w:t>
      </w:r>
      <w:r w:rsidRPr="0070655A">
        <w:t xml:space="preserve"> miliardi.</w:t>
      </w:r>
      <w:r w:rsidRPr="0070655A">
        <w:rPr>
          <w:rStyle w:val="Rimandonotaapidipagina"/>
        </w:rPr>
        <w:footnoteReference w:id="4"/>
      </w:r>
    </w:p>
    <w:p w:rsidR="00E268B1" w:rsidRPr="0070655A" w:rsidRDefault="00B82D9E" w:rsidP="00B82D9E">
      <w:pPr>
        <w:jc w:val="both"/>
      </w:pPr>
      <w:r w:rsidRPr="0070655A">
        <w:t>In conclusione, se da un lato la nostra analisi dimostra l’esistenza di margini di manovra importanti sul versante della cd “spesa produtt</w:t>
      </w:r>
      <w:r w:rsidR="001951D9">
        <w:t>iva</w:t>
      </w:r>
      <w:r w:rsidRPr="0070655A">
        <w:t xml:space="preserve">” e della riforma del sistema fiscale attuale, dall’altro essa evidenzia in maniera netta l’incapacità negli anni passati di abbracciare una visione non rigorista della politica di bilancio e, simultaneamente, </w:t>
      </w:r>
      <w:r w:rsidR="007E56E9">
        <w:t>di</w:t>
      </w:r>
      <w:r w:rsidRPr="0070655A">
        <w:t xml:space="preserve"> esercitare rigore e fermezza rispetto alle richieste di aumento delle spese correnti cd “improduttive”.</w:t>
      </w:r>
    </w:p>
    <w:p w:rsidR="00E268B1" w:rsidRPr="0070655A" w:rsidRDefault="00E268B1" w:rsidP="00E268B1">
      <w:r w:rsidRPr="0070655A">
        <w:br w:type="page"/>
      </w:r>
    </w:p>
    <w:p w:rsidR="00665717" w:rsidRPr="0070655A" w:rsidRDefault="00085B8C" w:rsidP="0019679A">
      <w:pPr>
        <w:pStyle w:val="Titolo1"/>
        <w:spacing w:after="240"/>
        <w:jc w:val="center"/>
        <w:rPr>
          <w:color w:val="auto"/>
        </w:rPr>
      </w:pPr>
      <w:r w:rsidRPr="0070655A">
        <w:rPr>
          <w:color w:val="auto"/>
        </w:rPr>
        <w:lastRenderedPageBreak/>
        <w:t>Appendice</w:t>
      </w:r>
      <w:r w:rsidR="0019679A" w:rsidRPr="0070655A">
        <w:rPr>
          <w:color w:val="auto"/>
        </w:rPr>
        <w:t xml:space="preserve"> </w:t>
      </w:r>
      <w:r w:rsidR="00BC4ECC" w:rsidRPr="0070655A">
        <w:rPr>
          <w:color w:val="auto"/>
        </w:rPr>
        <w:t>I</w:t>
      </w:r>
      <w:r w:rsidR="00B82D9E" w:rsidRPr="0070655A">
        <w:rPr>
          <w:color w:val="auto"/>
        </w:rPr>
        <w:t xml:space="preserve">: </w:t>
      </w:r>
      <w:r w:rsidR="00665717" w:rsidRPr="0070655A">
        <w:rPr>
          <w:color w:val="auto"/>
        </w:rPr>
        <w:t>Misure di contrasto all’evasione fiscale</w:t>
      </w:r>
    </w:p>
    <w:p w:rsidR="007659CB" w:rsidRPr="0070655A" w:rsidRDefault="007659CB" w:rsidP="00DB368F">
      <w:pPr>
        <w:pStyle w:val="Paragrafoelenco"/>
        <w:numPr>
          <w:ilvl w:val="0"/>
          <w:numId w:val="5"/>
        </w:numPr>
        <w:spacing w:line="256" w:lineRule="auto"/>
        <w:jc w:val="both"/>
      </w:pPr>
      <w:r w:rsidRPr="0070655A">
        <w:t>Introdurre la trasmissione obbligatoria per via telematica delle informazioni utili a fini fiscali contenute in ciascuna fattura emessa dai contribuenti</w:t>
      </w:r>
      <w:r w:rsidR="00376648">
        <w:t xml:space="preserve"> IVA </w:t>
      </w:r>
      <w:r w:rsidRPr="0070655A">
        <w:t>come precondizione per la sua success</w:t>
      </w:r>
      <w:r w:rsidR="00376648">
        <w:t>IVA</w:t>
      </w:r>
      <w:r w:rsidRPr="0070655A">
        <w:t xml:space="preserve"> detrazione da parte del cliente che la riceve;</w:t>
      </w:r>
    </w:p>
    <w:p w:rsidR="007659CB" w:rsidRPr="0070655A" w:rsidRDefault="007659CB" w:rsidP="00DB368F">
      <w:pPr>
        <w:pStyle w:val="Paragrafoelenco"/>
        <w:numPr>
          <w:ilvl w:val="0"/>
          <w:numId w:val="5"/>
        </w:numPr>
        <w:spacing w:line="256" w:lineRule="auto"/>
        <w:jc w:val="both"/>
      </w:pPr>
      <w:r w:rsidRPr="0070655A">
        <w:t>Sostituire gli attuali registratori di cassa con mini terminali collegati con l’Agenzia delle Entrate, cui dovrebbero affluire i dati in tempo reale;</w:t>
      </w:r>
    </w:p>
    <w:p w:rsidR="007659CB" w:rsidRPr="0070655A" w:rsidRDefault="007659CB" w:rsidP="00DB368F">
      <w:pPr>
        <w:pStyle w:val="Paragrafoelenco"/>
        <w:numPr>
          <w:ilvl w:val="0"/>
          <w:numId w:val="5"/>
        </w:numPr>
        <w:spacing w:line="256" w:lineRule="auto"/>
        <w:jc w:val="both"/>
      </w:pPr>
      <w:r w:rsidRPr="0070655A">
        <w:t>Prevedere un analogo sistema per i lavoratori autonomi e i contribuenti non tenuti all’emissione della fattura, ma dello scontrino o ricevuta fiscale (professionisti, ristoranti, ecc.)</w:t>
      </w:r>
    </w:p>
    <w:p w:rsidR="007659CB" w:rsidRPr="0070655A" w:rsidRDefault="007659CB" w:rsidP="00DB368F">
      <w:pPr>
        <w:pStyle w:val="Paragrafoelenco"/>
        <w:numPr>
          <w:ilvl w:val="0"/>
          <w:numId w:val="5"/>
        </w:numPr>
        <w:spacing w:line="256" w:lineRule="auto"/>
        <w:jc w:val="both"/>
      </w:pPr>
      <w:r w:rsidRPr="0070655A">
        <w:t>Integrare nel sistema la raccolta per via telematica dei dati delle vendite effettuate mediante distributori automatici o attraverso la rete;</w:t>
      </w:r>
    </w:p>
    <w:p w:rsidR="007659CB" w:rsidRPr="0070655A" w:rsidRDefault="007659CB" w:rsidP="00DB368F">
      <w:pPr>
        <w:pStyle w:val="Paragrafoelenco"/>
        <w:numPr>
          <w:ilvl w:val="0"/>
          <w:numId w:val="5"/>
        </w:numPr>
        <w:spacing w:line="256" w:lineRule="auto"/>
        <w:jc w:val="both"/>
      </w:pPr>
      <w:r w:rsidRPr="0070655A">
        <w:t>Riorganizzare le aliquote</w:t>
      </w:r>
      <w:r w:rsidR="00376648">
        <w:t xml:space="preserve"> IVA </w:t>
      </w:r>
      <w:r w:rsidRPr="0070655A">
        <w:t>in modo da impedire (con un’aliquota unica), o limitare l’evasione da arbitraggio sulle aliquote;</w:t>
      </w:r>
    </w:p>
    <w:p w:rsidR="007659CB" w:rsidRPr="0070655A" w:rsidRDefault="007659CB" w:rsidP="00DB368F">
      <w:pPr>
        <w:pStyle w:val="Paragrafoelenco"/>
        <w:numPr>
          <w:ilvl w:val="0"/>
          <w:numId w:val="5"/>
        </w:numPr>
        <w:spacing w:line="256" w:lineRule="auto"/>
        <w:jc w:val="both"/>
      </w:pPr>
      <w:r w:rsidRPr="0070655A">
        <w:t>Introdurre un meccanismo generalizzato di ritenute da parte di “terzi” per le imposte sui redditi, approfittando del meccanismo frazionato di funzionamento dell’</w:t>
      </w:r>
      <w:r w:rsidR="00376648">
        <w:t>IVA</w:t>
      </w:r>
      <w:r w:rsidRPr="0070655A">
        <w:t>: ogni contribuente dovrebbe operare una ritenuta su ogni pagamento fatto a fornitori in corrispondenza di ogni fattura ricevuta, e detrarre al tempo stesso le ritenute subite dai suoi clienti;</w:t>
      </w:r>
    </w:p>
    <w:p w:rsidR="007659CB" w:rsidRPr="0070655A" w:rsidRDefault="007659CB" w:rsidP="00DB368F">
      <w:pPr>
        <w:pStyle w:val="Paragrafoelenco"/>
        <w:numPr>
          <w:ilvl w:val="0"/>
          <w:numId w:val="5"/>
        </w:numPr>
        <w:spacing w:line="256" w:lineRule="auto"/>
        <w:jc w:val="both"/>
      </w:pPr>
      <w:r w:rsidRPr="0070655A">
        <w:t xml:space="preserve">Prevedere l’accertamento automatico per i contribuenti le cui dichiarazioni non corrispondessero ai dati ottenuti dall’Amministrazione, e l’accertamento automatico induttivo per tutti i contribuenti che riducessero il </w:t>
      </w:r>
      <w:r w:rsidR="00DB368F" w:rsidRPr="0070655A">
        <w:t>mark</w:t>
      </w:r>
      <w:r w:rsidRPr="0070655A">
        <w:t xml:space="preserve">up (margine) rispetto a quello dichiarato in precedenza; </w:t>
      </w:r>
    </w:p>
    <w:p w:rsidR="007659CB" w:rsidRPr="0070655A" w:rsidRDefault="007659CB" w:rsidP="00DB368F">
      <w:pPr>
        <w:pStyle w:val="Paragrafoelenco"/>
        <w:numPr>
          <w:ilvl w:val="0"/>
          <w:numId w:val="5"/>
        </w:numPr>
        <w:spacing w:line="256" w:lineRule="auto"/>
        <w:jc w:val="both"/>
      </w:pPr>
      <w:r w:rsidRPr="0070655A">
        <w:t>Utilizzare sistematicamente per tutti i contribuenti le informazioni sui saldi e i movimenti dei conti correnti, da tempo disponibil</w:t>
      </w:r>
      <w:r w:rsidR="007E56E9">
        <w:t>i</w:t>
      </w:r>
      <w:r w:rsidRPr="0070655A">
        <w:t xml:space="preserve"> presso l’Agenzia delle Entrate, e mai utilizzati.</w:t>
      </w:r>
    </w:p>
    <w:p w:rsidR="007659CB" w:rsidRPr="0070655A" w:rsidRDefault="007659CB" w:rsidP="00DB368F">
      <w:pPr>
        <w:jc w:val="both"/>
      </w:pPr>
      <w:r w:rsidRPr="0070655A">
        <w:t>Queste misure, più altre che pure potrebbero essere introdotte previo accordo con la Commissione Europea, determinerebbero un’imponente emersione di base imponibile e di gettito (per un ammontare non inferiore ai 50 miliardi di euro l’anno), in quanto si eliminerebbe tutta l’evasione che oggi si verifica lungo la catena produtt</w:t>
      </w:r>
      <w:r w:rsidR="00376648">
        <w:t>IVA</w:t>
      </w:r>
      <w:r w:rsidRPr="0070655A">
        <w:t xml:space="preserve">, ed anche una quota rilevante di quella nei rapporti con i consumatori finali. L’adozione di queste misure consentirebbe inoltre di eliminare il redditometro, lo spesometro, gran parte degli studi di settore, e la stessa contabilità </w:t>
      </w:r>
      <w:r w:rsidR="00376648">
        <w:t>IVA</w:t>
      </w:r>
      <w:r w:rsidRPr="0070655A">
        <w:t>, semplificando notevolmente gli adempimenti e l’intero sistema. Se si vuole la questione potrebbe essere risolta in pochi anni.</w:t>
      </w:r>
    </w:p>
    <w:p w:rsidR="00BC4ECC" w:rsidRPr="0070655A" w:rsidRDefault="0019679A" w:rsidP="006D1B73">
      <w:pPr>
        <w:pStyle w:val="Titolo1"/>
        <w:jc w:val="center"/>
        <w:rPr>
          <w:color w:val="auto"/>
        </w:rPr>
      </w:pPr>
      <w:r w:rsidRPr="0070655A">
        <w:rPr>
          <w:color w:val="auto"/>
        </w:rPr>
        <w:t xml:space="preserve">Appendice </w:t>
      </w:r>
      <w:r w:rsidR="00BC4ECC" w:rsidRPr="0070655A">
        <w:rPr>
          <w:color w:val="auto"/>
        </w:rPr>
        <w:t>II: I moltiplicatori del modello</w:t>
      </w:r>
    </w:p>
    <w:p w:rsidR="00BC4ECC" w:rsidRPr="0070655A" w:rsidRDefault="00BC4ECC" w:rsidP="00BC4ECC">
      <w:pPr>
        <w:spacing w:before="120" w:after="120"/>
      </w:pPr>
      <w:r w:rsidRPr="0070655A">
        <w:t xml:space="preserve">La tab.5 riporta i livelli dei moltiplicatori dinamici utilizzati dal modello. I valori devono essere intesi come elasticità cumulate. </w:t>
      </w:r>
    </w:p>
    <w:p w:rsidR="00BC4ECC" w:rsidRPr="0070655A" w:rsidRDefault="00BC4ECC" w:rsidP="00BC4ECC">
      <w:pPr>
        <w:pStyle w:val="Didascalia"/>
        <w:keepNext/>
        <w:ind w:left="1134"/>
        <w:rPr>
          <w:b/>
          <w:i w:val="0"/>
          <w:color w:val="auto"/>
        </w:rPr>
      </w:pPr>
      <w:r w:rsidRPr="0070655A">
        <w:rPr>
          <w:b/>
          <w:i w:val="0"/>
          <w:color w:val="auto"/>
        </w:rPr>
        <w:t xml:space="preserve">Tabella </w:t>
      </w:r>
      <w:r w:rsidRPr="0070655A">
        <w:rPr>
          <w:b/>
          <w:i w:val="0"/>
          <w:noProof/>
          <w:color w:val="auto"/>
        </w:rPr>
        <w:fldChar w:fldCharType="begin"/>
      </w:r>
      <w:r w:rsidRPr="0070655A">
        <w:rPr>
          <w:b/>
          <w:i w:val="0"/>
          <w:noProof/>
          <w:color w:val="auto"/>
        </w:rPr>
        <w:instrText xml:space="preserve"> SEQ Tabella \* ARABIC </w:instrText>
      </w:r>
      <w:r w:rsidRPr="0070655A">
        <w:rPr>
          <w:b/>
          <w:i w:val="0"/>
          <w:noProof/>
          <w:color w:val="auto"/>
        </w:rPr>
        <w:fldChar w:fldCharType="separate"/>
      </w:r>
      <w:r w:rsidR="00DA0E8A" w:rsidRPr="0070655A">
        <w:rPr>
          <w:b/>
          <w:i w:val="0"/>
          <w:noProof/>
          <w:color w:val="auto"/>
        </w:rPr>
        <w:t>5</w:t>
      </w:r>
      <w:r w:rsidRPr="0070655A">
        <w:rPr>
          <w:b/>
          <w:i w:val="0"/>
          <w:noProof/>
          <w:color w:val="auto"/>
        </w:rPr>
        <w:fldChar w:fldCharType="end"/>
      </w:r>
      <w:r w:rsidRPr="0070655A">
        <w:rPr>
          <w:b/>
          <w:i w:val="0"/>
          <w:color w:val="auto"/>
        </w:rPr>
        <w:t xml:space="preserve">: I moltiplicatori usati per le simulazioni come da NADEF 2017, Focus: Aggiornamento delle stime dei moltiplicatori fiscali secondo il modello ITEM </w:t>
      </w:r>
    </w:p>
    <w:tbl>
      <w:tblPr>
        <w:tblW w:w="726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600" w:firstRow="0" w:lastRow="0" w:firstColumn="0" w:lastColumn="0" w:noHBand="1" w:noVBand="1"/>
      </w:tblPr>
      <w:tblGrid>
        <w:gridCol w:w="3060"/>
        <w:gridCol w:w="840"/>
        <w:gridCol w:w="840"/>
        <w:gridCol w:w="840"/>
        <w:gridCol w:w="840"/>
        <w:gridCol w:w="840"/>
      </w:tblGrid>
      <w:tr w:rsidR="001B6EFF" w:rsidRPr="0070655A" w:rsidTr="00470EC7">
        <w:trPr>
          <w:trHeight w:val="290"/>
          <w:jc w:val="center"/>
        </w:trPr>
        <w:tc>
          <w:tcPr>
            <w:tcW w:w="3060" w:type="dxa"/>
            <w:shd w:val="clear" w:color="auto" w:fill="auto"/>
            <w:noWrap/>
            <w:vAlign w:val="bottom"/>
            <w:hideMark/>
          </w:tcPr>
          <w:p w:rsidR="00BC4ECC" w:rsidRPr="0070655A" w:rsidRDefault="00BC4ECC" w:rsidP="00470EC7">
            <w:pPr>
              <w:spacing w:after="0" w:line="240" w:lineRule="auto"/>
              <w:rPr>
                <w:rFonts w:ascii="Times New Roman" w:eastAsia="Times New Roman" w:hAnsi="Times New Roman" w:cs="Times New Roman"/>
                <w:sz w:val="24"/>
                <w:szCs w:val="24"/>
                <w:lang w:eastAsia="it-IT"/>
              </w:rPr>
            </w:pP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anno 1</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anno 2</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anno 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anno 4</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b/>
                <w:bCs/>
                <w:lang w:eastAsia="it-IT"/>
              </w:rPr>
            </w:pPr>
            <w:r w:rsidRPr="0070655A">
              <w:rPr>
                <w:rFonts w:ascii="Calibri" w:eastAsia="Times New Roman" w:hAnsi="Calibri" w:cs="Calibri"/>
                <w:b/>
                <w:bCs/>
                <w:lang w:eastAsia="it-IT"/>
              </w:rPr>
              <w:t>anno 5</w:t>
            </w:r>
          </w:p>
        </w:tc>
      </w:tr>
      <w:tr w:rsidR="001B6EFF" w:rsidRPr="0070655A" w:rsidTr="00470EC7">
        <w:trPr>
          <w:trHeight w:val="290"/>
          <w:jc w:val="center"/>
        </w:trPr>
        <w:tc>
          <w:tcPr>
            <w:tcW w:w="3060" w:type="dxa"/>
            <w:shd w:val="clear" w:color="auto" w:fill="auto"/>
            <w:noWrap/>
            <w:vAlign w:val="bottom"/>
            <w:hideMark/>
          </w:tcPr>
          <w:p w:rsidR="00BC4ECC" w:rsidRPr="0070655A" w:rsidRDefault="00376648" w:rsidP="00470EC7">
            <w:pPr>
              <w:spacing w:after="0" w:line="240" w:lineRule="auto"/>
              <w:rPr>
                <w:rFonts w:ascii="Calibri" w:eastAsia="Times New Roman" w:hAnsi="Calibri" w:cs="Calibri"/>
                <w:lang w:eastAsia="it-IT"/>
              </w:rPr>
            </w:pPr>
            <w:r>
              <w:rPr>
                <w:rFonts w:ascii="Calibri" w:eastAsia="Times New Roman" w:hAnsi="Calibri" w:cs="Calibri"/>
                <w:lang w:eastAsia="it-IT"/>
              </w:rPr>
              <w:t>IVA</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0,7</w:t>
            </w:r>
          </w:p>
        </w:tc>
      </w:tr>
      <w:tr w:rsidR="001B6EFF" w:rsidRPr="0070655A" w:rsidTr="00470EC7">
        <w:trPr>
          <w:trHeight w:val="290"/>
          <w:jc w:val="center"/>
        </w:trPr>
        <w:tc>
          <w:tcPr>
            <w:tcW w:w="3060" w:type="dxa"/>
            <w:shd w:val="clear" w:color="auto" w:fill="auto"/>
            <w:noWrap/>
            <w:vAlign w:val="bottom"/>
            <w:hideMark/>
          </w:tcPr>
          <w:p w:rsidR="00BC4ECC" w:rsidRPr="0070655A" w:rsidRDefault="00BC4ECC" w:rsidP="00470EC7">
            <w:pPr>
              <w:spacing w:after="0" w:line="240" w:lineRule="auto"/>
              <w:rPr>
                <w:rFonts w:ascii="Calibri" w:eastAsia="Times New Roman" w:hAnsi="Calibri" w:cs="Calibri"/>
                <w:lang w:eastAsia="it-IT"/>
              </w:rPr>
            </w:pPr>
            <w:r w:rsidRPr="0070655A">
              <w:rPr>
                <w:rFonts w:ascii="Calibri" w:eastAsia="Times New Roman" w:hAnsi="Calibri" w:cs="Calibri"/>
                <w:lang w:eastAsia="it-IT"/>
              </w:rPr>
              <w:t>Contributi sociali</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0,4</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0,9</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r>
      <w:tr w:rsidR="001B6EFF" w:rsidRPr="0070655A" w:rsidTr="00470EC7">
        <w:trPr>
          <w:trHeight w:val="290"/>
          <w:jc w:val="center"/>
        </w:trPr>
        <w:tc>
          <w:tcPr>
            <w:tcW w:w="3060" w:type="dxa"/>
            <w:shd w:val="clear" w:color="auto" w:fill="auto"/>
            <w:noWrap/>
            <w:vAlign w:val="bottom"/>
            <w:hideMark/>
          </w:tcPr>
          <w:p w:rsidR="00BC4ECC" w:rsidRPr="0070655A" w:rsidRDefault="002D5F27" w:rsidP="00470EC7">
            <w:pPr>
              <w:spacing w:after="0" w:line="240" w:lineRule="auto"/>
              <w:rPr>
                <w:rFonts w:ascii="Calibri" w:eastAsia="Times New Roman" w:hAnsi="Calibri" w:cs="Calibri"/>
                <w:lang w:eastAsia="it-IT"/>
              </w:rPr>
            </w:pPr>
            <w:r>
              <w:rPr>
                <w:rFonts w:ascii="Calibri" w:eastAsia="Times New Roman" w:hAnsi="Calibri" w:cs="Calibri"/>
                <w:lang w:eastAsia="it-IT"/>
              </w:rPr>
              <w:t>IRPEF</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0,7</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r>
      <w:tr w:rsidR="001B6EFF" w:rsidRPr="0070655A" w:rsidTr="00470EC7">
        <w:trPr>
          <w:trHeight w:val="290"/>
          <w:jc w:val="center"/>
        </w:trPr>
        <w:tc>
          <w:tcPr>
            <w:tcW w:w="3060" w:type="dxa"/>
            <w:shd w:val="clear" w:color="auto" w:fill="auto"/>
            <w:noWrap/>
            <w:vAlign w:val="bottom"/>
            <w:hideMark/>
          </w:tcPr>
          <w:p w:rsidR="00BC4ECC" w:rsidRPr="0070655A" w:rsidRDefault="002D5F27" w:rsidP="00470EC7">
            <w:pPr>
              <w:spacing w:after="0" w:line="240" w:lineRule="auto"/>
              <w:rPr>
                <w:rFonts w:ascii="Calibri" w:eastAsia="Times New Roman" w:hAnsi="Calibri" w:cs="Calibri"/>
                <w:lang w:eastAsia="it-IT"/>
              </w:rPr>
            </w:pPr>
            <w:r>
              <w:rPr>
                <w:rFonts w:ascii="Calibri" w:eastAsia="Times New Roman" w:hAnsi="Calibri" w:cs="Calibri"/>
                <w:lang w:eastAsia="it-IT"/>
              </w:rPr>
              <w:t>IRES</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0,2</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0,4</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0,4</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r>
      <w:tr w:rsidR="001B6EFF" w:rsidRPr="0070655A" w:rsidTr="00470EC7">
        <w:trPr>
          <w:trHeight w:val="290"/>
          <w:jc w:val="center"/>
        </w:trPr>
        <w:tc>
          <w:tcPr>
            <w:tcW w:w="3060" w:type="dxa"/>
            <w:shd w:val="clear" w:color="auto" w:fill="auto"/>
            <w:noWrap/>
            <w:vAlign w:val="bottom"/>
            <w:hideMark/>
          </w:tcPr>
          <w:p w:rsidR="00BC4ECC" w:rsidRPr="0070655A" w:rsidRDefault="002D5F27" w:rsidP="00470EC7">
            <w:pPr>
              <w:spacing w:after="0" w:line="240" w:lineRule="auto"/>
              <w:rPr>
                <w:rFonts w:ascii="Calibri" w:eastAsia="Times New Roman" w:hAnsi="Calibri" w:cs="Calibri"/>
                <w:lang w:eastAsia="it-IT"/>
              </w:rPr>
            </w:pPr>
            <w:r>
              <w:rPr>
                <w:rFonts w:ascii="Calibri" w:eastAsia="Times New Roman" w:hAnsi="Calibri" w:cs="Calibri"/>
                <w:lang w:eastAsia="it-IT"/>
              </w:rPr>
              <w:t>IRAP</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0,4</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0,9</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0,9</w:t>
            </w:r>
          </w:p>
        </w:tc>
      </w:tr>
      <w:tr w:rsidR="001B6EFF" w:rsidRPr="0070655A" w:rsidTr="00470EC7">
        <w:trPr>
          <w:trHeight w:val="290"/>
          <w:jc w:val="center"/>
        </w:trPr>
        <w:tc>
          <w:tcPr>
            <w:tcW w:w="3060" w:type="dxa"/>
            <w:shd w:val="clear" w:color="auto" w:fill="auto"/>
            <w:noWrap/>
            <w:vAlign w:val="bottom"/>
            <w:hideMark/>
          </w:tcPr>
          <w:p w:rsidR="00BC4ECC" w:rsidRPr="0070655A" w:rsidRDefault="00BC4ECC" w:rsidP="00470EC7">
            <w:pPr>
              <w:spacing w:after="0" w:line="240" w:lineRule="auto"/>
              <w:rPr>
                <w:rFonts w:ascii="Calibri" w:eastAsia="Times New Roman" w:hAnsi="Calibri" w:cs="Calibri"/>
                <w:lang w:eastAsia="it-IT"/>
              </w:rPr>
            </w:pPr>
            <w:r w:rsidRPr="0070655A">
              <w:rPr>
                <w:rFonts w:ascii="Calibri" w:eastAsia="Times New Roman" w:hAnsi="Calibri" w:cs="Calibri"/>
                <w:lang w:eastAsia="it-IT"/>
              </w:rPr>
              <w:t>Investimenti pubblici</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1,2</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1,1</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0,9</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0,8</w:t>
            </w:r>
          </w:p>
        </w:tc>
      </w:tr>
      <w:tr w:rsidR="001B6EFF" w:rsidRPr="0070655A" w:rsidTr="00470EC7">
        <w:trPr>
          <w:trHeight w:val="290"/>
          <w:jc w:val="center"/>
        </w:trPr>
        <w:tc>
          <w:tcPr>
            <w:tcW w:w="3060" w:type="dxa"/>
            <w:shd w:val="clear" w:color="auto" w:fill="auto"/>
            <w:noWrap/>
            <w:vAlign w:val="bottom"/>
            <w:hideMark/>
          </w:tcPr>
          <w:p w:rsidR="00BC4ECC" w:rsidRPr="0070655A" w:rsidRDefault="00BC4ECC" w:rsidP="00470EC7">
            <w:pPr>
              <w:spacing w:after="0" w:line="240" w:lineRule="auto"/>
              <w:rPr>
                <w:rFonts w:ascii="Calibri" w:eastAsia="Times New Roman" w:hAnsi="Calibri" w:cs="Calibri"/>
                <w:lang w:eastAsia="it-IT"/>
              </w:rPr>
            </w:pPr>
            <w:r w:rsidRPr="0070655A">
              <w:rPr>
                <w:rFonts w:ascii="Calibri" w:eastAsia="Times New Roman" w:hAnsi="Calibri" w:cs="Calibri"/>
                <w:lang w:eastAsia="it-IT"/>
              </w:rPr>
              <w:t>Sussidi agli investimenti</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0,2</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0,3</w:t>
            </w:r>
          </w:p>
        </w:tc>
      </w:tr>
      <w:tr w:rsidR="00BC4ECC" w:rsidRPr="0070655A" w:rsidTr="00470EC7">
        <w:trPr>
          <w:trHeight w:val="290"/>
          <w:jc w:val="center"/>
        </w:trPr>
        <w:tc>
          <w:tcPr>
            <w:tcW w:w="3060" w:type="dxa"/>
            <w:shd w:val="clear" w:color="auto" w:fill="auto"/>
            <w:noWrap/>
            <w:vAlign w:val="bottom"/>
            <w:hideMark/>
          </w:tcPr>
          <w:p w:rsidR="00BC4ECC" w:rsidRPr="0070655A" w:rsidRDefault="00BC4ECC" w:rsidP="00470EC7">
            <w:pPr>
              <w:spacing w:after="0" w:line="240" w:lineRule="auto"/>
              <w:rPr>
                <w:rFonts w:ascii="Calibri" w:eastAsia="Times New Roman" w:hAnsi="Calibri" w:cs="Calibri"/>
                <w:lang w:eastAsia="it-IT"/>
              </w:rPr>
            </w:pPr>
            <w:r w:rsidRPr="0070655A">
              <w:rPr>
                <w:rFonts w:ascii="Calibri" w:eastAsia="Times New Roman" w:hAnsi="Calibri" w:cs="Calibri"/>
                <w:lang w:eastAsia="it-IT"/>
              </w:rPr>
              <w:t>Consumi intermedi</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1,1</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1,3</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1,0</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0,9</w:t>
            </w:r>
          </w:p>
        </w:tc>
        <w:tc>
          <w:tcPr>
            <w:tcW w:w="840" w:type="dxa"/>
            <w:shd w:val="clear" w:color="auto" w:fill="auto"/>
            <w:noWrap/>
            <w:vAlign w:val="bottom"/>
            <w:hideMark/>
          </w:tcPr>
          <w:p w:rsidR="00BC4ECC" w:rsidRPr="0070655A" w:rsidRDefault="00BC4ECC" w:rsidP="00470EC7">
            <w:pPr>
              <w:spacing w:after="0" w:line="240" w:lineRule="auto"/>
              <w:jc w:val="right"/>
              <w:rPr>
                <w:rFonts w:ascii="Calibri" w:eastAsia="Times New Roman" w:hAnsi="Calibri" w:cs="Calibri"/>
                <w:lang w:eastAsia="it-IT"/>
              </w:rPr>
            </w:pPr>
            <w:r w:rsidRPr="0070655A">
              <w:rPr>
                <w:rFonts w:ascii="Calibri" w:eastAsia="Times New Roman" w:hAnsi="Calibri" w:cs="Calibri"/>
                <w:lang w:eastAsia="it-IT"/>
              </w:rPr>
              <w:t>0,7</w:t>
            </w:r>
          </w:p>
        </w:tc>
      </w:tr>
    </w:tbl>
    <w:p w:rsidR="00C42F49" w:rsidRPr="0070655A" w:rsidRDefault="00C42F49" w:rsidP="00BF614F">
      <w:pPr>
        <w:jc w:val="both"/>
      </w:pPr>
    </w:p>
    <w:sectPr w:rsidR="00C42F49" w:rsidRPr="0070655A" w:rsidSect="00817CC6">
      <w:footerReference w:type="default" r:id="rId8"/>
      <w:pgSz w:w="11906" w:h="16838"/>
      <w:pgMar w:top="1417" w:right="127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EF9" w:rsidRDefault="00AE5EF9" w:rsidP="006148A1">
      <w:pPr>
        <w:spacing w:after="0" w:line="240" w:lineRule="auto"/>
      </w:pPr>
      <w:r>
        <w:separator/>
      </w:r>
    </w:p>
  </w:endnote>
  <w:endnote w:type="continuationSeparator" w:id="0">
    <w:p w:rsidR="00AE5EF9" w:rsidRDefault="00AE5EF9" w:rsidP="0061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4536938"/>
      <w:docPartObj>
        <w:docPartGallery w:val="Page Numbers (Bottom of Page)"/>
        <w:docPartUnique/>
      </w:docPartObj>
    </w:sdtPr>
    <w:sdtEndPr/>
    <w:sdtContent>
      <w:sdt>
        <w:sdtPr>
          <w:id w:val="1102227057"/>
          <w:docPartObj>
            <w:docPartGallery w:val="Page Numbers (Top of Page)"/>
            <w:docPartUnique/>
          </w:docPartObj>
        </w:sdtPr>
        <w:sdtEndPr/>
        <w:sdtContent>
          <w:p w:rsidR="00810710" w:rsidRDefault="00810710" w:rsidP="00DE3B50">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F318EF">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F318EF">
              <w:rPr>
                <w:b/>
                <w:bCs/>
                <w:noProof/>
              </w:rPr>
              <w:t>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EF9" w:rsidRDefault="00AE5EF9" w:rsidP="006148A1">
      <w:pPr>
        <w:spacing w:after="0" w:line="240" w:lineRule="auto"/>
      </w:pPr>
      <w:r>
        <w:separator/>
      </w:r>
    </w:p>
  </w:footnote>
  <w:footnote w:type="continuationSeparator" w:id="0">
    <w:p w:rsidR="00AE5EF9" w:rsidRDefault="00AE5EF9" w:rsidP="006148A1">
      <w:pPr>
        <w:spacing w:after="0" w:line="240" w:lineRule="auto"/>
      </w:pPr>
      <w:r>
        <w:continuationSeparator/>
      </w:r>
    </w:p>
  </w:footnote>
  <w:footnote w:id="1">
    <w:p w:rsidR="00810710" w:rsidRDefault="00810710">
      <w:pPr>
        <w:pStyle w:val="Testonotaapidipagina"/>
      </w:pPr>
      <w:r>
        <w:rPr>
          <w:rStyle w:val="Rimandonotaapidipagina"/>
        </w:rPr>
        <w:footnoteRef/>
      </w:r>
      <w:r>
        <w:t xml:space="preserve"> Questa versione: 4 settembre 2018</w:t>
      </w:r>
    </w:p>
  </w:footnote>
  <w:footnote w:id="2">
    <w:p w:rsidR="00810710" w:rsidRPr="00BF613B" w:rsidRDefault="00810710" w:rsidP="00861A08">
      <w:pPr>
        <w:pStyle w:val="Testonotaapidipagina"/>
        <w:jc w:val="both"/>
      </w:pPr>
      <w:r w:rsidRPr="00BF613B">
        <w:rPr>
          <w:rStyle w:val="Rimandonotaapidipagina"/>
        </w:rPr>
        <w:footnoteRef/>
      </w:r>
      <w:r>
        <w:t xml:space="preserve"> Allo scopo di testare la robustezza dei risultati ottenuti con i moltiplicatori ITEM, la proposta è stata stimata anche con l’ausilio di modelli più contenitivi caratterizzati da moltiplicatori più bassi. Compless</w:t>
      </w:r>
      <w:r w:rsidR="00376648">
        <w:t>iva</w:t>
      </w:r>
      <w:r>
        <w:t>mente, tutti i test di robustezza effettuati hanno confermato le dinamiche di fondo ottenute con i moltiplicatori ITEM.</w:t>
      </w:r>
    </w:p>
  </w:footnote>
  <w:footnote w:id="3">
    <w:p w:rsidR="00810710" w:rsidRPr="00BF613B" w:rsidRDefault="00810710" w:rsidP="00861A08">
      <w:pPr>
        <w:pStyle w:val="Testonotaapidipagina"/>
      </w:pPr>
      <w:r w:rsidRPr="00BF613B">
        <w:rPr>
          <w:rStyle w:val="Rimandonotaapidipagina"/>
        </w:rPr>
        <w:footnoteRef/>
      </w:r>
      <w:r w:rsidRPr="00BF613B">
        <w:t xml:space="preserve"> In proposito v. Confindustria, Scenari Economici 2015 n. 25, e Bobbio E. (2016), Quaderni di Economia e Finanza n.357, Banca d’Italia.</w:t>
      </w:r>
    </w:p>
  </w:footnote>
  <w:footnote w:id="4">
    <w:p w:rsidR="00810710" w:rsidRDefault="00810710" w:rsidP="00B82D9E">
      <w:pPr>
        <w:pStyle w:val="Testonotaapidipagina"/>
        <w:jc w:val="both"/>
      </w:pPr>
      <w:r>
        <w:rPr>
          <w:rStyle w:val="Rimandonotaapidipagina"/>
        </w:rPr>
        <w:footnoteRef/>
      </w:r>
      <w:r>
        <w:t xml:space="preserve"> Con riferimento al rispetto dei parametri di convergenza verso il pareggio di bilancio strutturale (</w:t>
      </w:r>
      <w:r>
        <w:rPr>
          <w:i/>
        </w:rPr>
        <w:t>Fiscal Compact</w:t>
      </w:r>
      <w:r>
        <w:t xml:space="preserve">), va detto che la nostra proposta potrebbe creare una temporanea deviazione rispetto al percorso di correzione prescritto dal Patto di Stabilità e Crescita, per poi consentire un ritmo di aggiustamento più sostenuto rispetto a quanto previsto dal DEF di aprile. Inoltre, l’irrobustimento della crescita dovuto alle misure contenute nella proposta potrebbe indurre la Commissione a rivedere la fase ciclica dell’Italia, col risultato che questa potrebbe anche chiedere al Nostro Paese, nonostante la maggiore crescita, un inasprimento della nostra politica di bilancio. Tutte queste considerazioni rimarcano ancora una volta la natura controciclica che caratterizza l’intero impianto del </w:t>
      </w:r>
      <w:r w:rsidRPr="00E01675">
        <w:rPr>
          <w:i/>
        </w:rPr>
        <w:t>Fiscal compact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D7DF3"/>
    <w:multiLevelType w:val="hybridMultilevel"/>
    <w:tmpl w:val="5ECE5A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6927EA"/>
    <w:multiLevelType w:val="hybridMultilevel"/>
    <w:tmpl w:val="DA9AEF96"/>
    <w:lvl w:ilvl="0" w:tplc="D5C8DDF8">
      <w:start w:val="1"/>
      <w:numFmt w:val="bullet"/>
      <w:lvlText w:val=""/>
      <w:lvlJc w:val="left"/>
      <w:pPr>
        <w:tabs>
          <w:tab w:val="num" w:pos="720"/>
        </w:tabs>
        <w:ind w:left="720" w:hanging="360"/>
      </w:pPr>
      <w:rPr>
        <w:rFonts w:ascii="Wingdings" w:hAnsi="Wingdings" w:hint="default"/>
      </w:rPr>
    </w:lvl>
    <w:lvl w:ilvl="1" w:tplc="ECEEF4CC">
      <w:start w:val="1"/>
      <w:numFmt w:val="bullet"/>
      <w:lvlText w:val=""/>
      <w:lvlJc w:val="left"/>
      <w:pPr>
        <w:tabs>
          <w:tab w:val="num" w:pos="1440"/>
        </w:tabs>
        <w:ind w:left="1440" w:hanging="360"/>
      </w:pPr>
      <w:rPr>
        <w:rFonts w:ascii="Wingdings" w:hAnsi="Wingdings" w:hint="default"/>
      </w:rPr>
    </w:lvl>
    <w:lvl w:ilvl="2" w:tplc="F25E929E" w:tentative="1">
      <w:start w:val="1"/>
      <w:numFmt w:val="bullet"/>
      <w:lvlText w:val=""/>
      <w:lvlJc w:val="left"/>
      <w:pPr>
        <w:tabs>
          <w:tab w:val="num" w:pos="2160"/>
        </w:tabs>
        <w:ind w:left="2160" w:hanging="360"/>
      </w:pPr>
      <w:rPr>
        <w:rFonts w:ascii="Wingdings" w:hAnsi="Wingdings" w:hint="default"/>
      </w:rPr>
    </w:lvl>
    <w:lvl w:ilvl="3" w:tplc="4CE8E4F4" w:tentative="1">
      <w:start w:val="1"/>
      <w:numFmt w:val="bullet"/>
      <w:lvlText w:val=""/>
      <w:lvlJc w:val="left"/>
      <w:pPr>
        <w:tabs>
          <w:tab w:val="num" w:pos="2880"/>
        </w:tabs>
        <w:ind w:left="2880" w:hanging="360"/>
      </w:pPr>
      <w:rPr>
        <w:rFonts w:ascii="Wingdings" w:hAnsi="Wingdings" w:hint="default"/>
      </w:rPr>
    </w:lvl>
    <w:lvl w:ilvl="4" w:tplc="0D167AD2" w:tentative="1">
      <w:start w:val="1"/>
      <w:numFmt w:val="bullet"/>
      <w:lvlText w:val=""/>
      <w:lvlJc w:val="left"/>
      <w:pPr>
        <w:tabs>
          <w:tab w:val="num" w:pos="3600"/>
        </w:tabs>
        <w:ind w:left="3600" w:hanging="360"/>
      </w:pPr>
      <w:rPr>
        <w:rFonts w:ascii="Wingdings" w:hAnsi="Wingdings" w:hint="default"/>
      </w:rPr>
    </w:lvl>
    <w:lvl w:ilvl="5" w:tplc="3ADA47FC" w:tentative="1">
      <w:start w:val="1"/>
      <w:numFmt w:val="bullet"/>
      <w:lvlText w:val=""/>
      <w:lvlJc w:val="left"/>
      <w:pPr>
        <w:tabs>
          <w:tab w:val="num" w:pos="4320"/>
        </w:tabs>
        <w:ind w:left="4320" w:hanging="360"/>
      </w:pPr>
      <w:rPr>
        <w:rFonts w:ascii="Wingdings" w:hAnsi="Wingdings" w:hint="default"/>
      </w:rPr>
    </w:lvl>
    <w:lvl w:ilvl="6" w:tplc="E7EAA780" w:tentative="1">
      <w:start w:val="1"/>
      <w:numFmt w:val="bullet"/>
      <w:lvlText w:val=""/>
      <w:lvlJc w:val="left"/>
      <w:pPr>
        <w:tabs>
          <w:tab w:val="num" w:pos="5040"/>
        </w:tabs>
        <w:ind w:left="5040" w:hanging="360"/>
      </w:pPr>
      <w:rPr>
        <w:rFonts w:ascii="Wingdings" w:hAnsi="Wingdings" w:hint="default"/>
      </w:rPr>
    </w:lvl>
    <w:lvl w:ilvl="7" w:tplc="58CE2C72" w:tentative="1">
      <w:start w:val="1"/>
      <w:numFmt w:val="bullet"/>
      <w:lvlText w:val=""/>
      <w:lvlJc w:val="left"/>
      <w:pPr>
        <w:tabs>
          <w:tab w:val="num" w:pos="5760"/>
        </w:tabs>
        <w:ind w:left="5760" w:hanging="360"/>
      </w:pPr>
      <w:rPr>
        <w:rFonts w:ascii="Wingdings" w:hAnsi="Wingdings" w:hint="default"/>
      </w:rPr>
    </w:lvl>
    <w:lvl w:ilvl="8" w:tplc="9A344E2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117C63"/>
    <w:multiLevelType w:val="hybridMultilevel"/>
    <w:tmpl w:val="21D8D8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81B6AEB"/>
    <w:multiLevelType w:val="hybridMultilevel"/>
    <w:tmpl w:val="EA2C18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A7192"/>
    <w:multiLevelType w:val="hybridMultilevel"/>
    <w:tmpl w:val="8EF60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AA7202"/>
    <w:multiLevelType w:val="hybridMultilevel"/>
    <w:tmpl w:val="0736EA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C2"/>
    <w:rsid w:val="0000429B"/>
    <w:rsid w:val="00026448"/>
    <w:rsid w:val="0004604B"/>
    <w:rsid w:val="000702A1"/>
    <w:rsid w:val="0007596C"/>
    <w:rsid w:val="0008000F"/>
    <w:rsid w:val="00084CF0"/>
    <w:rsid w:val="00085B8C"/>
    <w:rsid w:val="000908E4"/>
    <w:rsid w:val="00093130"/>
    <w:rsid w:val="000A7EA6"/>
    <w:rsid w:val="000C301D"/>
    <w:rsid w:val="000C471B"/>
    <w:rsid w:val="000D121A"/>
    <w:rsid w:val="000D5AAA"/>
    <w:rsid w:val="000E62C6"/>
    <w:rsid w:val="00123756"/>
    <w:rsid w:val="00146EA9"/>
    <w:rsid w:val="00161527"/>
    <w:rsid w:val="00170A72"/>
    <w:rsid w:val="001840AC"/>
    <w:rsid w:val="001951D9"/>
    <w:rsid w:val="0019679A"/>
    <w:rsid w:val="001B017B"/>
    <w:rsid w:val="001B63F2"/>
    <w:rsid w:val="001B6EFF"/>
    <w:rsid w:val="00200CE2"/>
    <w:rsid w:val="00211189"/>
    <w:rsid w:val="00227AE0"/>
    <w:rsid w:val="00235DF2"/>
    <w:rsid w:val="002426C9"/>
    <w:rsid w:val="00260695"/>
    <w:rsid w:val="00261FEC"/>
    <w:rsid w:val="00286401"/>
    <w:rsid w:val="00290425"/>
    <w:rsid w:val="002A6158"/>
    <w:rsid w:val="002D5F27"/>
    <w:rsid w:val="00300217"/>
    <w:rsid w:val="00303E95"/>
    <w:rsid w:val="00304AE1"/>
    <w:rsid w:val="00316CA5"/>
    <w:rsid w:val="00317813"/>
    <w:rsid w:val="0034272B"/>
    <w:rsid w:val="00344D32"/>
    <w:rsid w:val="00352D69"/>
    <w:rsid w:val="00372EFB"/>
    <w:rsid w:val="00376648"/>
    <w:rsid w:val="00383D29"/>
    <w:rsid w:val="003D3D2F"/>
    <w:rsid w:val="003D7DA3"/>
    <w:rsid w:val="003F0FDE"/>
    <w:rsid w:val="003F4AE3"/>
    <w:rsid w:val="004027B2"/>
    <w:rsid w:val="00405D9B"/>
    <w:rsid w:val="00406439"/>
    <w:rsid w:val="0041293F"/>
    <w:rsid w:val="00413789"/>
    <w:rsid w:val="00447ADB"/>
    <w:rsid w:val="00465956"/>
    <w:rsid w:val="00470EC7"/>
    <w:rsid w:val="00471AC2"/>
    <w:rsid w:val="00483986"/>
    <w:rsid w:val="004A198F"/>
    <w:rsid w:val="004B0859"/>
    <w:rsid w:val="004E20A4"/>
    <w:rsid w:val="004F02C8"/>
    <w:rsid w:val="00512D23"/>
    <w:rsid w:val="00526738"/>
    <w:rsid w:val="00526B49"/>
    <w:rsid w:val="00533A0E"/>
    <w:rsid w:val="005505AE"/>
    <w:rsid w:val="005802FC"/>
    <w:rsid w:val="005A1D87"/>
    <w:rsid w:val="005A731E"/>
    <w:rsid w:val="005D0DDF"/>
    <w:rsid w:val="005D156A"/>
    <w:rsid w:val="005D1710"/>
    <w:rsid w:val="005D5437"/>
    <w:rsid w:val="006148A1"/>
    <w:rsid w:val="00645293"/>
    <w:rsid w:val="00646C28"/>
    <w:rsid w:val="00660A68"/>
    <w:rsid w:val="00665717"/>
    <w:rsid w:val="00665ABD"/>
    <w:rsid w:val="006808D9"/>
    <w:rsid w:val="00686DB0"/>
    <w:rsid w:val="00692473"/>
    <w:rsid w:val="006D1915"/>
    <w:rsid w:val="006D1B73"/>
    <w:rsid w:val="006E5311"/>
    <w:rsid w:val="0070655A"/>
    <w:rsid w:val="0070676E"/>
    <w:rsid w:val="00730822"/>
    <w:rsid w:val="00735F66"/>
    <w:rsid w:val="00737E49"/>
    <w:rsid w:val="0074238B"/>
    <w:rsid w:val="0074388C"/>
    <w:rsid w:val="00743C94"/>
    <w:rsid w:val="007659CB"/>
    <w:rsid w:val="007742E7"/>
    <w:rsid w:val="007A3C8E"/>
    <w:rsid w:val="007B44D0"/>
    <w:rsid w:val="007C68CE"/>
    <w:rsid w:val="007D03AE"/>
    <w:rsid w:val="007D36EE"/>
    <w:rsid w:val="007E5359"/>
    <w:rsid w:val="007E56E9"/>
    <w:rsid w:val="007F7AB7"/>
    <w:rsid w:val="00810710"/>
    <w:rsid w:val="00817CC6"/>
    <w:rsid w:val="0082759E"/>
    <w:rsid w:val="00836523"/>
    <w:rsid w:val="00853460"/>
    <w:rsid w:val="008548C7"/>
    <w:rsid w:val="00856BA9"/>
    <w:rsid w:val="008610F5"/>
    <w:rsid w:val="00861A08"/>
    <w:rsid w:val="00866580"/>
    <w:rsid w:val="008768FA"/>
    <w:rsid w:val="00882ACF"/>
    <w:rsid w:val="008B4655"/>
    <w:rsid w:val="008C65B8"/>
    <w:rsid w:val="008C686E"/>
    <w:rsid w:val="008E282E"/>
    <w:rsid w:val="008F1629"/>
    <w:rsid w:val="008F536B"/>
    <w:rsid w:val="00903104"/>
    <w:rsid w:val="00921063"/>
    <w:rsid w:val="00931C46"/>
    <w:rsid w:val="0093438E"/>
    <w:rsid w:val="0094338D"/>
    <w:rsid w:val="00952E77"/>
    <w:rsid w:val="00954472"/>
    <w:rsid w:val="00986A6D"/>
    <w:rsid w:val="00993678"/>
    <w:rsid w:val="009A10E2"/>
    <w:rsid w:val="009C39DC"/>
    <w:rsid w:val="009F69E0"/>
    <w:rsid w:val="00A160BB"/>
    <w:rsid w:val="00A54418"/>
    <w:rsid w:val="00A75975"/>
    <w:rsid w:val="00A80736"/>
    <w:rsid w:val="00A83E3D"/>
    <w:rsid w:val="00A85215"/>
    <w:rsid w:val="00AC596F"/>
    <w:rsid w:val="00AE5EF9"/>
    <w:rsid w:val="00B1539F"/>
    <w:rsid w:val="00B21CC1"/>
    <w:rsid w:val="00B25110"/>
    <w:rsid w:val="00B273EB"/>
    <w:rsid w:val="00B32C05"/>
    <w:rsid w:val="00B533DB"/>
    <w:rsid w:val="00B54686"/>
    <w:rsid w:val="00B82D9E"/>
    <w:rsid w:val="00B90653"/>
    <w:rsid w:val="00B94B25"/>
    <w:rsid w:val="00BA1EAE"/>
    <w:rsid w:val="00BA30CB"/>
    <w:rsid w:val="00BC272E"/>
    <w:rsid w:val="00BC4ECC"/>
    <w:rsid w:val="00BC7032"/>
    <w:rsid w:val="00BE604E"/>
    <w:rsid w:val="00BF45FB"/>
    <w:rsid w:val="00BF49BF"/>
    <w:rsid w:val="00BF5CDE"/>
    <w:rsid w:val="00BF614F"/>
    <w:rsid w:val="00C06D07"/>
    <w:rsid w:val="00C32921"/>
    <w:rsid w:val="00C42F49"/>
    <w:rsid w:val="00C455DD"/>
    <w:rsid w:val="00C50C34"/>
    <w:rsid w:val="00C51EA0"/>
    <w:rsid w:val="00C6032E"/>
    <w:rsid w:val="00C60413"/>
    <w:rsid w:val="00C6226B"/>
    <w:rsid w:val="00C93006"/>
    <w:rsid w:val="00C94670"/>
    <w:rsid w:val="00CA17AF"/>
    <w:rsid w:val="00CB1488"/>
    <w:rsid w:val="00D2144D"/>
    <w:rsid w:val="00D67789"/>
    <w:rsid w:val="00D86409"/>
    <w:rsid w:val="00D86501"/>
    <w:rsid w:val="00D87AA2"/>
    <w:rsid w:val="00D965BE"/>
    <w:rsid w:val="00DA0E8A"/>
    <w:rsid w:val="00DB368F"/>
    <w:rsid w:val="00DD0E9B"/>
    <w:rsid w:val="00DD6EDC"/>
    <w:rsid w:val="00DE0F1C"/>
    <w:rsid w:val="00DE3B50"/>
    <w:rsid w:val="00DE3BC9"/>
    <w:rsid w:val="00E268B1"/>
    <w:rsid w:val="00E37A34"/>
    <w:rsid w:val="00E37DBE"/>
    <w:rsid w:val="00E82035"/>
    <w:rsid w:val="00E839A8"/>
    <w:rsid w:val="00E84F62"/>
    <w:rsid w:val="00EA4C3D"/>
    <w:rsid w:val="00EC404F"/>
    <w:rsid w:val="00EF3119"/>
    <w:rsid w:val="00EF7165"/>
    <w:rsid w:val="00F01759"/>
    <w:rsid w:val="00F21A41"/>
    <w:rsid w:val="00F247A5"/>
    <w:rsid w:val="00F318EF"/>
    <w:rsid w:val="00F57292"/>
    <w:rsid w:val="00F677C4"/>
    <w:rsid w:val="00F70986"/>
    <w:rsid w:val="00F74CF9"/>
    <w:rsid w:val="00F754EF"/>
    <w:rsid w:val="00FC7B59"/>
    <w:rsid w:val="00FD264B"/>
    <w:rsid w:val="00FD4874"/>
    <w:rsid w:val="00FE6686"/>
    <w:rsid w:val="00FF6E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83605C-E3E9-42D6-B129-4A7ED3721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3D3D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9433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1AC2"/>
    <w:pPr>
      <w:ind w:left="720"/>
      <w:contextualSpacing/>
    </w:pPr>
  </w:style>
  <w:style w:type="character" w:customStyle="1" w:styleId="Titolo1Carattere">
    <w:name w:val="Titolo 1 Carattere"/>
    <w:basedOn w:val="Carpredefinitoparagrafo"/>
    <w:link w:val="Titolo1"/>
    <w:uiPriority w:val="9"/>
    <w:rsid w:val="003D3D2F"/>
    <w:rPr>
      <w:rFonts w:asciiTheme="majorHAnsi" w:eastAsiaTheme="majorEastAsia" w:hAnsiTheme="majorHAnsi" w:cstheme="majorBidi"/>
      <w:color w:val="2E74B5" w:themeColor="accent1" w:themeShade="BF"/>
      <w:sz w:val="32"/>
      <w:szCs w:val="32"/>
    </w:rPr>
  </w:style>
  <w:style w:type="paragraph" w:styleId="Titolo">
    <w:name w:val="Title"/>
    <w:basedOn w:val="Normale"/>
    <w:next w:val="Normale"/>
    <w:link w:val="TitoloCarattere"/>
    <w:uiPriority w:val="10"/>
    <w:qFormat/>
    <w:rsid w:val="00F017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01759"/>
    <w:rPr>
      <w:rFonts w:asciiTheme="majorHAnsi" w:eastAsiaTheme="majorEastAsia" w:hAnsiTheme="majorHAnsi" w:cstheme="majorBidi"/>
      <w:spacing w:val="-10"/>
      <w:kern w:val="28"/>
      <w:sz w:val="56"/>
      <w:szCs w:val="56"/>
    </w:rPr>
  </w:style>
  <w:style w:type="paragraph" w:styleId="Didascalia">
    <w:name w:val="caption"/>
    <w:basedOn w:val="Normale"/>
    <w:next w:val="Normale"/>
    <w:uiPriority w:val="35"/>
    <w:unhideWhenUsed/>
    <w:qFormat/>
    <w:rsid w:val="005A1D87"/>
    <w:pPr>
      <w:spacing w:after="200" w:line="240" w:lineRule="auto"/>
    </w:pPr>
    <w:rPr>
      <w:i/>
      <w:iCs/>
      <w:color w:val="44546A" w:themeColor="text2"/>
      <w:sz w:val="18"/>
      <w:szCs w:val="18"/>
    </w:rPr>
  </w:style>
  <w:style w:type="character" w:customStyle="1" w:styleId="Titolo2Carattere">
    <w:name w:val="Titolo 2 Carattere"/>
    <w:basedOn w:val="Carpredefinitoparagrafo"/>
    <w:link w:val="Titolo2"/>
    <w:uiPriority w:val="9"/>
    <w:rsid w:val="0094338D"/>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6148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8A1"/>
  </w:style>
  <w:style w:type="paragraph" w:styleId="Pidipagina">
    <w:name w:val="footer"/>
    <w:basedOn w:val="Normale"/>
    <w:link w:val="PidipaginaCarattere"/>
    <w:uiPriority w:val="99"/>
    <w:unhideWhenUsed/>
    <w:rsid w:val="006148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8A1"/>
  </w:style>
  <w:style w:type="paragraph" w:styleId="Testofumetto">
    <w:name w:val="Balloon Text"/>
    <w:basedOn w:val="Normale"/>
    <w:link w:val="TestofumettoCarattere"/>
    <w:uiPriority w:val="99"/>
    <w:semiHidden/>
    <w:unhideWhenUsed/>
    <w:rsid w:val="0082759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2759E"/>
    <w:rPr>
      <w:rFonts w:ascii="Segoe UI" w:hAnsi="Segoe UI" w:cs="Segoe UI"/>
      <w:sz w:val="18"/>
      <w:szCs w:val="18"/>
    </w:rPr>
  </w:style>
  <w:style w:type="paragraph" w:styleId="Testonotaapidipagina">
    <w:name w:val="footnote text"/>
    <w:basedOn w:val="Normale"/>
    <w:link w:val="TestonotaapidipaginaCarattere"/>
    <w:uiPriority w:val="99"/>
    <w:unhideWhenUsed/>
    <w:rsid w:val="008F53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F536B"/>
    <w:rPr>
      <w:sz w:val="20"/>
      <w:szCs w:val="20"/>
    </w:rPr>
  </w:style>
  <w:style w:type="character" w:styleId="Rimandonotaapidipagina">
    <w:name w:val="footnote reference"/>
    <w:basedOn w:val="Carpredefinitoparagrafo"/>
    <w:uiPriority w:val="99"/>
    <w:semiHidden/>
    <w:unhideWhenUsed/>
    <w:rsid w:val="008F53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4828">
      <w:bodyDiv w:val="1"/>
      <w:marLeft w:val="0"/>
      <w:marRight w:val="0"/>
      <w:marTop w:val="0"/>
      <w:marBottom w:val="0"/>
      <w:divBdr>
        <w:top w:val="none" w:sz="0" w:space="0" w:color="auto"/>
        <w:left w:val="none" w:sz="0" w:space="0" w:color="auto"/>
        <w:bottom w:val="none" w:sz="0" w:space="0" w:color="auto"/>
        <w:right w:val="none" w:sz="0" w:space="0" w:color="auto"/>
      </w:divBdr>
    </w:div>
    <w:div w:id="71977188">
      <w:bodyDiv w:val="1"/>
      <w:marLeft w:val="0"/>
      <w:marRight w:val="0"/>
      <w:marTop w:val="0"/>
      <w:marBottom w:val="0"/>
      <w:divBdr>
        <w:top w:val="none" w:sz="0" w:space="0" w:color="auto"/>
        <w:left w:val="none" w:sz="0" w:space="0" w:color="auto"/>
        <w:bottom w:val="none" w:sz="0" w:space="0" w:color="auto"/>
        <w:right w:val="none" w:sz="0" w:space="0" w:color="auto"/>
      </w:divBdr>
    </w:div>
    <w:div w:id="246234376">
      <w:bodyDiv w:val="1"/>
      <w:marLeft w:val="0"/>
      <w:marRight w:val="0"/>
      <w:marTop w:val="0"/>
      <w:marBottom w:val="0"/>
      <w:divBdr>
        <w:top w:val="none" w:sz="0" w:space="0" w:color="auto"/>
        <w:left w:val="none" w:sz="0" w:space="0" w:color="auto"/>
        <w:bottom w:val="none" w:sz="0" w:space="0" w:color="auto"/>
        <w:right w:val="none" w:sz="0" w:space="0" w:color="auto"/>
      </w:divBdr>
    </w:div>
    <w:div w:id="311561777">
      <w:bodyDiv w:val="1"/>
      <w:marLeft w:val="0"/>
      <w:marRight w:val="0"/>
      <w:marTop w:val="0"/>
      <w:marBottom w:val="0"/>
      <w:divBdr>
        <w:top w:val="none" w:sz="0" w:space="0" w:color="auto"/>
        <w:left w:val="none" w:sz="0" w:space="0" w:color="auto"/>
        <w:bottom w:val="none" w:sz="0" w:space="0" w:color="auto"/>
        <w:right w:val="none" w:sz="0" w:space="0" w:color="auto"/>
      </w:divBdr>
      <w:divsChild>
        <w:div w:id="52050385">
          <w:marLeft w:val="1080"/>
          <w:marRight w:val="0"/>
          <w:marTop w:val="100"/>
          <w:marBottom w:val="0"/>
          <w:divBdr>
            <w:top w:val="none" w:sz="0" w:space="0" w:color="auto"/>
            <w:left w:val="none" w:sz="0" w:space="0" w:color="auto"/>
            <w:bottom w:val="none" w:sz="0" w:space="0" w:color="auto"/>
            <w:right w:val="none" w:sz="0" w:space="0" w:color="auto"/>
          </w:divBdr>
        </w:div>
      </w:divsChild>
    </w:div>
    <w:div w:id="343703467">
      <w:bodyDiv w:val="1"/>
      <w:marLeft w:val="0"/>
      <w:marRight w:val="0"/>
      <w:marTop w:val="0"/>
      <w:marBottom w:val="0"/>
      <w:divBdr>
        <w:top w:val="none" w:sz="0" w:space="0" w:color="auto"/>
        <w:left w:val="none" w:sz="0" w:space="0" w:color="auto"/>
        <w:bottom w:val="none" w:sz="0" w:space="0" w:color="auto"/>
        <w:right w:val="none" w:sz="0" w:space="0" w:color="auto"/>
      </w:divBdr>
    </w:div>
    <w:div w:id="537856252">
      <w:bodyDiv w:val="1"/>
      <w:marLeft w:val="0"/>
      <w:marRight w:val="0"/>
      <w:marTop w:val="0"/>
      <w:marBottom w:val="0"/>
      <w:divBdr>
        <w:top w:val="none" w:sz="0" w:space="0" w:color="auto"/>
        <w:left w:val="none" w:sz="0" w:space="0" w:color="auto"/>
        <w:bottom w:val="none" w:sz="0" w:space="0" w:color="auto"/>
        <w:right w:val="none" w:sz="0" w:space="0" w:color="auto"/>
      </w:divBdr>
    </w:div>
    <w:div w:id="723797093">
      <w:bodyDiv w:val="1"/>
      <w:marLeft w:val="0"/>
      <w:marRight w:val="0"/>
      <w:marTop w:val="0"/>
      <w:marBottom w:val="0"/>
      <w:divBdr>
        <w:top w:val="none" w:sz="0" w:space="0" w:color="auto"/>
        <w:left w:val="none" w:sz="0" w:space="0" w:color="auto"/>
        <w:bottom w:val="none" w:sz="0" w:space="0" w:color="auto"/>
        <w:right w:val="none" w:sz="0" w:space="0" w:color="auto"/>
      </w:divBdr>
    </w:div>
    <w:div w:id="893808409">
      <w:bodyDiv w:val="1"/>
      <w:marLeft w:val="0"/>
      <w:marRight w:val="0"/>
      <w:marTop w:val="0"/>
      <w:marBottom w:val="0"/>
      <w:divBdr>
        <w:top w:val="none" w:sz="0" w:space="0" w:color="auto"/>
        <w:left w:val="none" w:sz="0" w:space="0" w:color="auto"/>
        <w:bottom w:val="none" w:sz="0" w:space="0" w:color="auto"/>
        <w:right w:val="none" w:sz="0" w:space="0" w:color="auto"/>
      </w:divBdr>
    </w:div>
    <w:div w:id="901717738">
      <w:bodyDiv w:val="1"/>
      <w:marLeft w:val="0"/>
      <w:marRight w:val="0"/>
      <w:marTop w:val="0"/>
      <w:marBottom w:val="0"/>
      <w:divBdr>
        <w:top w:val="none" w:sz="0" w:space="0" w:color="auto"/>
        <w:left w:val="none" w:sz="0" w:space="0" w:color="auto"/>
        <w:bottom w:val="none" w:sz="0" w:space="0" w:color="auto"/>
        <w:right w:val="none" w:sz="0" w:space="0" w:color="auto"/>
      </w:divBdr>
    </w:div>
    <w:div w:id="1317807420">
      <w:bodyDiv w:val="1"/>
      <w:marLeft w:val="0"/>
      <w:marRight w:val="0"/>
      <w:marTop w:val="0"/>
      <w:marBottom w:val="0"/>
      <w:divBdr>
        <w:top w:val="none" w:sz="0" w:space="0" w:color="auto"/>
        <w:left w:val="none" w:sz="0" w:space="0" w:color="auto"/>
        <w:bottom w:val="none" w:sz="0" w:space="0" w:color="auto"/>
        <w:right w:val="none" w:sz="0" w:space="0" w:color="auto"/>
      </w:divBdr>
    </w:div>
    <w:div w:id="1509100625">
      <w:bodyDiv w:val="1"/>
      <w:marLeft w:val="0"/>
      <w:marRight w:val="0"/>
      <w:marTop w:val="0"/>
      <w:marBottom w:val="0"/>
      <w:divBdr>
        <w:top w:val="none" w:sz="0" w:space="0" w:color="auto"/>
        <w:left w:val="none" w:sz="0" w:space="0" w:color="auto"/>
        <w:bottom w:val="none" w:sz="0" w:space="0" w:color="auto"/>
        <w:right w:val="none" w:sz="0" w:space="0" w:color="auto"/>
      </w:divBdr>
    </w:div>
    <w:div w:id="1630159132">
      <w:bodyDiv w:val="1"/>
      <w:marLeft w:val="0"/>
      <w:marRight w:val="0"/>
      <w:marTop w:val="0"/>
      <w:marBottom w:val="0"/>
      <w:divBdr>
        <w:top w:val="none" w:sz="0" w:space="0" w:color="auto"/>
        <w:left w:val="none" w:sz="0" w:space="0" w:color="auto"/>
        <w:bottom w:val="none" w:sz="0" w:space="0" w:color="auto"/>
        <w:right w:val="none" w:sz="0" w:space="0" w:color="auto"/>
      </w:divBdr>
    </w:div>
    <w:div w:id="1703742579">
      <w:bodyDiv w:val="1"/>
      <w:marLeft w:val="0"/>
      <w:marRight w:val="0"/>
      <w:marTop w:val="0"/>
      <w:marBottom w:val="0"/>
      <w:divBdr>
        <w:top w:val="none" w:sz="0" w:space="0" w:color="auto"/>
        <w:left w:val="none" w:sz="0" w:space="0" w:color="auto"/>
        <w:bottom w:val="none" w:sz="0" w:space="0" w:color="auto"/>
        <w:right w:val="none" w:sz="0" w:space="0" w:color="auto"/>
      </w:divBdr>
    </w:div>
    <w:div w:id="1883322612">
      <w:bodyDiv w:val="1"/>
      <w:marLeft w:val="0"/>
      <w:marRight w:val="0"/>
      <w:marTop w:val="0"/>
      <w:marBottom w:val="0"/>
      <w:divBdr>
        <w:top w:val="none" w:sz="0" w:space="0" w:color="auto"/>
        <w:left w:val="none" w:sz="0" w:space="0" w:color="auto"/>
        <w:bottom w:val="none" w:sz="0" w:space="0" w:color="auto"/>
        <w:right w:val="none" w:sz="0" w:space="0" w:color="auto"/>
      </w:divBdr>
    </w:div>
    <w:div w:id="1928029903">
      <w:bodyDiv w:val="1"/>
      <w:marLeft w:val="0"/>
      <w:marRight w:val="0"/>
      <w:marTop w:val="0"/>
      <w:marBottom w:val="0"/>
      <w:divBdr>
        <w:top w:val="none" w:sz="0" w:space="0" w:color="auto"/>
        <w:left w:val="none" w:sz="0" w:space="0" w:color="auto"/>
        <w:bottom w:val="none" w:sz="0" w:space="0" w:color="auto"/>
        <w:right w:val="none" w:sz="0" w:space="0" w:color="auto"/>
      </w:divBdr>
    </w:div>
    <w:div w:id="1989702258">
      <w:bodyDiv w:val="1"/>
      <w:marLeft w:val="0"/>
      <w:marRight w:val="0"/>
      <w:marTop w:val="0"/>
      <w:marBottom w:val="0"/>
      <w:divBdr>
        <w:top w:val="none" w:sz="0" w:space="0" w:color="auto"/>
        <w:left w:val="none" w:sz="0" w:space="0" w:color="auto"/>
        <w:bottom w:val="none" w:sz="0" w:space="0" w:color="auto"/>
        <w:right w:val="none" w:sz="0" w:space="0" w:color="auto"/>
      </w:divBdr>
    </w:div>
    <w:div w:id="20588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4D37-3416-4CF8-A830-A9B5A676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3110</Words>
  <Characters>17728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Nicola Del Duce</cp:lastModifiedBy>
  <cp:revision>2</cp:revision>
  <cp:lastPrinted>2018-09-04T16:53:00Z</cp:lastPrinted>
  <dcterms:created xsi:type="dcterms:W3CDTF">2018-10-05T15:19:00Z</dcterms:created>
  <dcterms:modified xsi:type="dcterms:W3CDTF">2018-10-05T15:19:00Z</dcterms:modified>
</cp:coreProperties>
</file>